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D6F" w:rsidRDefault="00967D6F" w:rsidP="00967D6F">
      <w:pPr>
        <w:rPr>
          <w:b/>
        </w:rPr>
      </w:pPr>
    </w:p>
    <w:p w:rsidR="00967D6F" w:rsidRDefault="00967D6F" w:rsidP="00967D6F">
      <w:pPr>
        <w:rPr>
          <w:b/>
        </w:rPr>
      </w:pPr>
    </w:p>
    <w:p w:rsidR="00967D6F" w:rsidRDefault="00967D6F" w:rsidP="00967D6F">
      <w:pPr>
        <w:rPr>
          <w:b/>
        </w:rPr>
      </w:pPr>
    </w:p>
    <w:p w:rsidR="005A6BF4" w:rsidRDefault="005A6BF4" w:rsidP="00967D6F">
      <w:pPr>
        <w:rPr>
          <w:b/>
        </w:rPr>
      </w:pPr>
    </w:p>
    <w:p w:rsidR="00967D6F" w:rsidRDefault="00967D6F" w:rsidP="00967D6F">
      <w:pPr>
        <w:rPr>
          <w:b/>
        </w:rPr>
      </w:pPr>
    </w:p>
    <w:p w:rsidR="00967D6F" w:rsidRDefault="00967D6F" w:rsidP="00967D6F">
      <w:pPr>
        <w:rPr>
          <w:b/>
        </w:rPr>
      </w:pPr>
    </w:p>
    <w:p w:rsidR="00115166" w:rsidRDefault="00115166" w:rsidP="00967D6F">
      <w:pPr>
        <w:rPr>
          <w:b/>
        </w:rPr>
      </w:pPr>
    </w:p>
    <w:p w:rsidR="00115166" w:rsidRDefault="00115166" w:rsidP="00967D6F">
      <w:pPr>
        <w:rPr>
          <w:b/>
        </w:rPr>
      </w:pPr>
    </w:p>
    <w:p w:rsidR="00967D6F" w:rsidRDefault="00967D6F" w:rsidP="00967D6F">
      <w:pPr>
        <w:rPr>
          <w:b/>
        </w:rPr>
      </w:pPr>
    </w:p>
    <w:p w:rsidR="00967D6F" w:rsidRDefault="00967D6F" w:rsidP="00967D6F">
      <w:pPr>
        <w:rPr>
          <w:b/>
        </w:rPr>
      </w:pPr>
    </w:p>
    <w:p w:rsidR="00967D6F" w:rsidRDefault="00967D6F" w:rsidP="00967D6F">
      <w:pPr>
        <w:rPr>
          <w:b/>
        </w:rPr>
      </w:pPr>
    </w:p>
    <w:p w:rsidR="00967D6F" w:rsidRDefault="005A6BF4" w:rsidP="00967D6F">
      <w:pPr>
        <w:jc w:val="center"/>
        <w:rPr>
          <w:b/>
          <w:sz w:val="38"/>
          <w:szCs w:val="38"/>
        </w:rPr>
      </w:pPr>
      <w:r w:rsidRPr="005A6BF4">
        <w:rPr>
          <w:b/>
          <w:sz w:val="38"/>
          <w:szCs w:val="38"/>
        </w:rPr>
        <w:t>Modernizace železničního uzlu Ostrava</w:t>
      </w:r>
    </w:p>
    <w:p w:rsidR="00967D6F" w:rsidRDefault="00967D6F" w:rsidP="00967D6F">
      <w:pPr>
        <w:rPr>
          <w:b/>
        </w:rPr>
      </w:pPr>
    </w:p>
    <w:p w:rsidR="00967D6F" w:rsidRDefault="00967D6F" w:rsidP="00967D6F">
      <w:pPr>
        <w:rPr>
          <w:b/>
        </w:rPr>
      </w:pPr>
    </w:p>
    <w:p w:rsidR="00967D6F" w:rsidRDefault="00967D6F" w:rsidP="00967D6F">
      <w:pPr>
        <w:rPr>
          <w:b/>
        </w:rPr>
      </w:pPr>
    </w:p>
    <w:p w:rsidR="00967D6F" w:rsidRDefault="00967D6F" w:rsidP="00967D6F">
      <w:pPr>
        <w:jc w:val="center"/>
        <w:rPr>
          <w:b/>
          <w:sz w:val="36"/>
          <w:szCs w:val="36"/>
        </w:rPr>
      </w:pPr>
      <w:r>
        <w:rPr>
          <w:b/>
          <w:sz w:val="36"/>
          <w:szCs w:val="36"/>
        </w:rPr>
        <w:t>Ekonomické hodnocení</w:t>
      </w:r>
    </w:p>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115166" w:rsidRDefault="00115166"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967D6F" w:rsidRDefault="00967D6F" w:rsidP="00967D6F"/>
    <w:p w:rsidR="00115166" w:rsidRDefault="00115166" w:rsidP="00967D6F"/>
    <w:p w:rsidR="00967D6F" w:rsidRDefault="00967D6F" w:rsidP="00967D6F"/>
    <w:p w:rsidR="00115166" w:rsidRDefault="00115166" w:rsidP="00967D6F">
      <w:pPr>
        <w:jc w:val="right"/>
      </w:pPr>
    </w:p>
    <w:p w:rsidR="00115166" w:rsidRDefault="00115166" w:rsidP="00967D6F">
      <w:pPr>
        <w:jc w:val="right"/>
      </w:pPr>
    </w:p>
    <w:p w:rsidR="00967D6F" w:rsidRDefault="00967D6F" w:rsidP="00967D6F">
      <w:pPr>
        <w:jc w:val="right"/>
      </w:pPr>
      <w:r>
        <w:t>Ing. Tomáš Funk</w:t>
      </w:r>
    </w:p>
    <w:p w:rsidR="00EA236D" w:rsidRDefault="00967D6F" w:rsidP="00EA236D">
      <w:pPr>
        <w:jc w:val="right"/>
      </w:pPr>
      <w:r>
        <w:t>MORAVIA CONSULT Olomouc a.s.</w:t>
      </w:r>
    </w:p>
    <w:p w:rsidR="00EA236D" w:rsidRDefault="00EA236D" w:rsidP="00EA236D">
      <w:pPr>
        <w:jc w:val="right"/>
      </w:pPr>
      <w:r>
        <w:t>Květen 2020</w:t>
      </w:r>
    </w:p>
    <w:p w:rsidR="00967D6F" w:rsidRDefault="00967D6F" w:rsidP="00967D6F">
      <w:pPr>
        <w:jc w:val="right"/>
      </w:pPr>
    </w:p>
    <w:p w:rsidR="00967D6F" w:rsidRDefault="00967D6F" w:rsidP="00967D6F">
      <w:pPr>
        <w:autoSpaceDE w:val="0"/>
        <w:autoSpaceDN w:val="0"/>
        <w:adjustRightInd w:val="0"/>
        <w:spacing w:after="0"/>
      </w:pPr>
      <w:r>
        <w:t>Ekonomické hodnocení je zpracováno v intencích Rezortní metodiky pro hodnocení ekonomické efektivnosti projektů dopravních staveb.</w:t>
      </w:r>
    </w:p>
    <w:sdt>
      <w:sdtPr>
        <w:rPr>
          <w:rFonts w:asciiTheme="minorHAnsi" w:eastAsiaTheme="minorHAnsi" w:hAnsiTheme="minorHAnsi" w:cstheme="minorBidi"/>
          <w:b w:val="0"/>
          <w:sz w:val="22"/>
          <w:szCs w:val="22"/>
        </w:rPr>
        <w:id w:val="1668292430"/>
        <w:docPartObj>
          <w:docPartGallery w:val="Table of Contents"/>
          <w:docPartUnique/>
        </w:docPartObj>
      </w:sdtPr>
      <w:sdtEndPr>
        <w:rPr>
          <w:bCs/>
        </w:rPr>
      </w:sdtEndPr>
      <w:sdtContent>
        <w:p w:rsidR="00115334" w:rsidRDefault="00115334">
          <w:pPr>
            <w:pStyle w:val="Nadpisobsahu"/>
          </w:pPr>
          <w:r>
            <w:t>Obsah</w:t>
          </w:r>
        </w:p>
        <w:p w:rsidR="00D71755" w:rsidRDefault="00115334">
          <w:pPr>
            <w:pStyle w:val="Obsah1"/>
            <w:tabs>
              <w:tab w:val="left" w:pos="442"/>
            </w:tabs>
            <w:rPr>
              <w:rFonts w:asciiTheme="minorHAnsi" w:eastAsiaTheme="minorEastAsia" w:hAnsiTheme="minorHAnsi"/>
              <w:noProof/>
              <w:sz w:val="22"/>
              <w:szCs w:val="22"/>
              <w:lang w:eastAsia="cs-CZ"/>
            </w:rPr>
          </w:pPr>
          <w:r w:rsidRPr="00115334">
            <w:rPr>
              <w:b/>
              <w:bCs/>
              <w:sz w:val="20"/>
            </w:rPr>
            <w:fldChar w:fldCharType="begin"/>
          </w:r>
          <w:r w:rsidRPr="00115334">
            <w:rPr>
              <w:b/>
              <w:bCs/>
              <w:sz w:val="20"/>
            </w:rPr>
            <w:instrText xml:space="preserve"> TOC \o "1-3" \h \z \u </w:instrText>
          </w:r>
          <w:r w:rsidRPr="00115334">
            <w:rPr>
              <w:b/>
              <w:bCs/>
              <w:sz w:val="20"/>
            </w:rPr>
            <w:fldChar w:fldCharType="separate"/>
          </w:r>
          <w:hyperlink w:anchor="_Toc40186565" w:history="1">
            <w:r w:rsidR="00D71755" w:rsidRPr="004F7154">
              <w:rPr>
                <w:rStyle w:val="Hypertextovodkaz"/>
                <w:noProof/>
              </w:rPr>
              <w:t>1</w:t>
            </w:r>
            <w:r w:rsidR="00D71755">
              <w:rPr>
                <w:rFonts w:asciiTheme="minorHAnsi" w:eastAsiaTheme="minorEastAsia" w:hAnsiTheme="minorHAnsi"/>
                <w:noProof/>
                <w:sz w:val="22"/>
                <w:szCs w:val="22"/>
                <w:lang w:eastAsia="cs-CZ"/>
              </w:rPr>
              <w:tab/>
            </w:r>
            <w:r w:rsidR="00D71755" w:rsidRPr="004F7154">
              <w:rPr>
                <w:rStyle w:val="Hypertextovodkaz"/>
                <w:noProof/>
              </w:rPr>
              <w:t>Úvod</w:t>
            </w:r>
            <w:r w:rsidR="00D71755">
              <w:rPr>
                <w:noProof/>
                <w:webHidden/>
              </w:rPr>
              <w:tab/>
            </w:r>
            <w:r w:rsidR="00D71755">
              <w:rPr>
                <w:noProof/>
                <w:webHidden/>
              </w:rPr>
              <w:fldChar w:fldCharType="begin"/>
            </w:r>
            <w:r w:rsidR="00D71755">
              <w:rPr>
                <w:noProof/>
                <w:webHidden/>
              </w:rPr>
              <w:instrText xml:space="preserve"> PAGEREF _Toc40186565 \h </w:instrText>
            </w:r>
            <w:r w:rsidR="00D71755">
              <w:rPr>
                <w:noProof/>
                <w:webHidden/>
              </w:rPr>
            </w:r>
            <w:r w:rsidR="00D71755">
              <w:rPr>
                <w:noProof/>
                <w:webHidden/>
              </w:rPr>
              <w:fldChar w:fldCharType="separate"/>
            </w:r>
            <w:r w:rsidR="00EF042C">
              <w:rPr>
                <w:noProof/>
                <w:webHidden/>
              </w:rPr>
              <w:t>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66" w:history="1">
            <w:r w:rsidR="00D71755" w:rsidRPr="004F7154">
              <w:rPr>
                <w:rStyle w:val="Hypertextovodkaz"/>
                <w:noProof/>
              </w:rPr>
              <w:t>1.1</w:t>
            </w:r>
            <w:r w:rsidR="00D71755">
              <w:rPr>
                <w:rFonts w:asciiTheme="minorHAnsi" w:eastAsiaTheme="minorEastAsia" w:hAnsiTheme="minorHAnsi"/>
                <w:noProof/>
                <w:sz w:val="22"/>
                <w:szCs w:val="22"/>
                <w:lang w:eastAsia="cs-CZ"/>
              </w:rPr>
              <w:tab/>
            </w:r>
            <w:r w:rsidR="00D71755" w:rsidRPr="004F7154">
              <w:rPr>
                <w:rStyle w:val="Hypertextovodkaz"/>
                <w:noProof/>
              </w:rPr>
              <w:t>Stávající stav infrastruktury v uzlu Ostrava</w:t>
            </w:r>
            <w:r w:rsidR="00D71755">
              <w:rPr>
                <w:noProof/>
                <w:webHidden/>
              </w:rPr>
              <w:tab/>
            </w:r>
            <w:r w:rsidR="00D71755">
              <w:rPr>
                <w:noProof/>
                <w:webHidden/>
              </w:rPr>
              <w:fldChar w:fldCharType="begin"/>
            </w:r>
            <w:r w:rsidR="00D71755">
              <w:rPr>
                <w:noProof/>
                <w:webHidden/>
              </w:rPr>
              <w:instrText xml:space="preserve"> PAGEREF _Toc40186566 \h </w:instrText>
            </w:r>
            <w:r w:rsidR="00D71755">
              <w:rPr>
                <w:noProof/>
                <w:webHidden/>
              </w:rPr>
            </w:r>
            <w:r w:rsidR="00D71755">
              <w:rPr>
                <w:noProof/>
                <w:webHidden/>
              </w:rPr>
              <w:fldChar w:fldCharType="separate"/>
            </w:r>
            <w:r>
              <w:rPr>
                <w:noProof/>
                <w:webHidden/>
              </w:rPr>
              <w:t>6</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67" w:history="1">
            <w:r w:rsidR="00D71755" w:rsidRPr="004F7154">
              <w:rPr>
                <w:rStyle w:val="Hypertextovodkaz"/>
                <w:noProof/>
              </w:rPr>
              <w:t>1.1.1</w:t>
            </w:r>
            <w:r w:rsidR="00D71755">
              <w:rPr>
                <w:rFonts w:asciiTheme="minorHAnsi" w:eastAsiaTheme="minorEastAsia" w:hAnsiTheme="minorHAnsi"/>
                <w:noProof/>
                <w:sz w:val="22"/>
                <w:szCs w:val="22"/>
                <w:lang w:eastAsia="cs-CZ"/>
              </w:rPr>
              <w:tab/>
            </w:r>
            <w:r w:rsidR="00D71755" w:rsidRPr="004F7154">
              <w:rPr>
                <w:rStyle w:val="Hypertextovodkaz"/>
                <w:noProof/>
              </w:rPr>
              <w:t>Kolejové řešení, nástupiště</w:t>
            </w:r>
            <w:r w:rsidR="00D71755">
              <w:rPr>
                <w:noProof/>
                <w:webHidden/>
              </w:rPr>
              <w:tab/>
            </w:r>
            <w:r w:rsidR="00D71755">
              <w:rPr>
                <w:noProof/>
                <w:webHidden/>
              </w:rPr>
              <w:fldChar w:fldCharType="begin"/>
            </w:r>
            <w:r w:rsidR="00D71755">
              <w:rPr>
                <w:noProof/>
                <w:webHidden/>
              </w:rPr>
              <w:instrText xml:space="preserve"> PAGEREF _Toc40186567 \h </w:instrText>
            </w:r>
            <w:r w:rsidR="00D71755">
              <w:rPr>
                <w:noProof/>
                <w:webHidden/>
              </w:rPr>
            </w:r>
            <w:r w:rsidR="00D71755">
              <w:rPr>
                <w:noProof/>
                <w:webHidden/>
              </w:rPr>
              <w:fldChar w:fldCharType="separate"/>
            </w:r>
            <w:r>
              <w:rPr>
                <w:noProof/>
                <w:webHidden/>
              </w:rPr>
              <w:t>6</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68" w:history="1">
            <w:r w:rsidR="00D71755" w:rsidRPr="004F7154">
              <w:rPr>
                <w:rStyle w:val="Hypertextovodkaz"/>
                <w:noProof/>
              </w:rPr>
              <w:t>1.1.2</w:t>
            </w:r>
            <w:r w:rsidR="00D71755">
              <w:rPr>
                <w:rFonts w:asciiTheme="minorHAnsi" w:eastAsiaTheme="minorEastAsia" w:hAnsiTheme="minorHAnsi"/>
                <w:noProof/>
                <w:sz w:val="22"/>
                <w:szCs w:val="22"/>
                <w:lang w:eastAsia="cs-CZ"/>
              </w:rPr>
              <w:tab/>
            </w:r>
            <w:r w:rsidR="00D71755" w:rsidRPr="004F7154">
              <w:rPr>
                <w:rStyle w:val="Hypertextovodkaz"/>
                <w:noProof/>
              </w:rPr>
              <w:t>Technický stav jednotlivých částí infrastruktury</w:t>
            </w:r>
            <w:r w:rsidR="00D71755">
              <w:rPr>
                <w:noProof/>
                <w:webHidden/>
              </w:rPr>
              <w:tab/>
            </w:r>
            <w:r w:rsidR="00D71755">
              <w:rPr>
                <w:noProof/>
                <w:webHidden/>
              </w:rPr>
              <w:fldChar w:fldCharType="begin"/>
            </w:r>
            <w:r w:rsidR="00D71755">
              <w:rPr>
                <w:noProof/>
                <w:webHidden/>
              </w:rPr>
              <w:instrText xml:space="preserve"> PAGEREF _Toc40186568 \h </w:instrText>
            </w:r>
            <w:r w:rsidR="00D71755">
              <w:rPr>
                <w:noProof/>
                <w:webHidden/>
              </w:rPr>
            </w:r>
            <w:r w:rsidR="00D71755">
              <w:rPr>
                <w:noProof/>
                <w:webHidden/>
              </w:rPr>
              <w:fldChar w:fldCharType="separate"/>
            </w:r>
            <w:r>
              <w:rPr>
                <w:noProof/>
                <w:webHidden/>
              </w:rPr>
              <w:t>6</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69" w:history="1">
            <w:r w:rsidR="00D71755" w:rsidRPr="004F7154">
              <w:rPr>
                <w:rStyle w:val="Hypertextovodkaz"/>
                <w:noProof/>
              </w:rPr>
              <w:t>1.1.3</w:t>
            </w:r>
            <w:r w:rsidR="00D71755">
              <w:rPr>
                <w:rFonts w:asciiTheme="minorHAnsi" w:eastAsiaTheme="minorEastAsia" w:hAnsiTheme="minorHAnsi"/>
                <w:noProof/>
                <w:sz w:val="22"/>
                <w:szCs w:val="22"/>
                <w:lang w:eastAsia="cs-CZ"/>
              </w:rPr>
              <w:tab/>
            </w:r>
            <w:r w:rsidR="00D71755" w:rsidRPr="004F7154">
              <w:rPr>
                <w:rStyle w:val="Hypertextovodkaz"/>
                <w:noProof/>
              </w:rPr>
              <w:t>Mosty a umělé stavby</w:t>
            </w:r>
            <w:r w:rsidR="00D71755">
              <w:rPr>
                <w:noProof/>
                <w:webHidden/>
              </w:rPr>
              <w:tab/>
            </w:r>
            <w:r w:rsidR="00D71755">
              <w:rPr>
                <w:noProof/>
                <w:webHidden/>
              </w:rPr>
              <w:fldChar w:fldCharType="begin"/>
            </w:r>
            <w:r w:rsidR="00D71755">
              <w:rPr>
                <w:noProof/>
                <w:webHidden/>
              </w:rPr>
              <w:instrText xml:space="preserve"> PAGEREF _Toc40186569 \h </w:instrText>
            </w:r>
            <w:r w:rsidR="00D71755">
              <w:rPr>
                <w:noProof/>
                <w:webHidden/>
              </w:rPr>
            </w:r>
            <w:r w:rsidR="00D71755">
              <w:rPr>
                <w:noProof/>
                <w:webHidden/>
              </w:rPr>
              <w:fldChar w:fldCharType="separate"/>
            </w:r>
            <w:r>
              <w:rPr>
                <w:noProof/>
                <w:webHidden/>
              </w:rPr>
              <w:t>7</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70" w:history="1">
            <w:r w:rsidR="00D71755" w:rsidRPr="004F7154">
              <w:rPr>
                <w:rStyle w:val="Hypertextovodkaz"/>
                <w:noProof/>
              </w:rPr>
              <w:t>1.1.4</w:t>
            </w:r>
            <w:r w:rsidR="00D71755">
              <w:rPr>
                <w:rFonts w:asciiTheme="minorHAnsi" w:eastAsiaTheme="minorEastAsia" w:hAnsiTheme="minorHAnsi"/>
                <w:noProof/>
                <w:sz w:val="22"/>
                <w:szCs w:val="22"/>
                <w:lang w:eastAsia="cs-CZ"/>
              </w:rPr>
              <w:tab/>
            </w:r>
            <w:r w:rsidR="00D71755" w:rsidRPr="004F7154">
              <w:rPr>
                <w:rStyle w:val="Hypertextovodkaz"/>
                <w:noProof/>
              </w:rPr>
              <w:t>Sdělovací zařízení</w:t>
            </w:r>
            <w:r w:rsidR="00D71755">
              <w:rPr>
                <w:noProof/>
                <w:webHidden/>
              </w:rPr>
              <w:tab/>
            </w:r>
            <w:r w:rsidR="00D71755">
              <w:rPr>
                <w:noProof/>
                <w:webHidden/>
              </w:rPr>
              <w:fldChar w:fldCharType="begin"/>
            </w:r>
            <w:r w:rsidR="00D71755">
              <w:rPr>
                <w:noProof/>
                <w:webHidden/>
              </w:rPr>
              <w:instrText xml:space="preserve"> PAGEREF _Toc40186570 \h </w:instrText>
            </w:r>
            <w:r w:rsidR="00D71755">
              <w:rPr>
                <w:noProof/>
                <w:webHidden/>
              </w:rPr>
            </w:r>
            <w:r w:rsidR="00D71755">
              <w:rPr>
                <w:noProof/>
                <w:webHidden/>
              </w:rPr>
              <w:fldChar w:fldCharType="separate"/>
            </w:r>
            <w:r>
              <w:rPr>
                <w:noProof/>
                <w:webHidden/>
              </w:rPr>
              <w:t>9</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71" w:history="1">
            <w:r w:rsidR="00D71755" w:rsidRPr="004F7154">
              <w:rPr>
                <w:rStyle w:val="Hypertextovodkaz"/>
                <w:noProof/>
              </w:rPr>
              <w:t>1.1.5</w:t>
            </w:r>
            <w:r w:rsidR="00D71755">
              <w:rPr>
                <w:rFonts w:asciiTheme="minorHAnsi" w:eastAsiaTheme="minorEastAsia" w:hAnsiTheme="minorHAnsi"/>
                <w:noProof/>
                <w:sz w:val="22"/>
                <w:szCs w:val="22"/>
                <w:lang w:eastAsia="cs-CZ"/>
              </w:rPr>
              <w:tab/>
            </w:r>
            <w:r w:rsidR="00D71755" w:rsidRPr="004F7154">
              <w:rPr>
                <w:rStyle w:val="Hypertextovodkaz"/>
                <w:noProof/>
              </w:rPr>
              <w:t>Zabezpečovací zařízení</w:t>
            </w:r>
            <w:r w:rsidR="00D71755">
              <w:rPr>
                <w:noProof/>
                <w:webHidden/>
              </w:rPr>
              <w:tab/>
            </w:r>
            <w:r w:rsidR="00D71755">
              <w:rPr>
                <w:noProof/>
                <w:webHidden/>
              </w:rPr>
              <w:fldChar w:fldCharType="begin"/>
            </w:r>
            <w:r w:rsidR="00D71755">
              <w:rPr>
                <w:noProof/>
                <w:webHidden/>
              </w:rPr>
              <w:instrText xml:space="preserve"> PAGEREF _Toc40186571 \h </w:instrText>
            </w:r>
            <w:r w:rsidR="00D71755">
              <w:rPr>
                <w:noProof/>
                <w:webHidden/>
              </w:rPr>
            </w:r>
            <w:r w:rsidR="00D71755">
              <w:rPr>
                <w:noProof/>
                <w:webHidden/>
              </w:rPr>
              <w:fldChar w:fldCharType="separate"/>
            </w:r>
            <w:r>
              <w:rPr>
                <w:noProof/>
                <w:webHidden/>
              </w:rPr>
              <w:t>9</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72" w:history="1">
            <w:r w:rsidR="00D71755" w:rsidRPr="004F7154">
              <w:rPr>
                <w:rStyle w:val="Hypertextovodkaz"/>
                <w:noProof/>
              </w:rPr>
              <w:t>1.1.6</w:t>
            </w:r>
            <w:r w:rsidR="00D71755">
              <w:rPr>
                <w:rFonts w:asciiTheme="minorHAnsi" w:eastAsiaTheme="minorEastAsia" w:hAnsiTheme="minorHAnsi"/>
                <w:noProof/>
                <w:sz w:val="22"/>
                <w:szCs w:val="22"/>
                <w:lang w:eastAsia="cs-CZ"/>
              </w:rPr>
              <w:tab/>
            </w:r>
            <w:r w:rsidR="00D71755" w:rsidRPr="004F7154">
              <w:rPr>
                <w:rStyle w:val="Hypertextovodkaz"/>
                <w:noProof/>
              </w:rPr>
              <w:t>Silnoproudá zařízení a rozvody</w:t>
            </w:r>
            <w:r w:rsidR="00D71755">
              <w:rPr>
                <w:noProof/>
                <w:webHidden/>
              </w:rPr>
              <w:tab/>
            </w:r>
            <w:r w:rsidR="00D71755">
              <w:rPr>
                <w:noProof/>
                <w:webHidden/>
              </w:rPr>
              <w:fldChar w:fldCharType="begin"/>
            </w:r>
            <w:r w:rsidR="00D71755">
              <w:rPr>
                <w:noProof/>
                <w:webHidden/>
              </w:rPr>
              <w:instrText xml:space="preserve"> PAGEREF _Toc40186572 \h </w:instrText>
            </w:r>
            <w:r w:rsidR="00D71755">
              <w:rPr>
                <w:noProof/>
                <w:webHidden/>
              </w:rPr>
            </w:r>
            <w:r w:rsidR="00D71755">
              <w:rPr>
                <w:noProof/>
                <w:webHidden/>
              </w:rPr>
              <w:fldChar w:fldCharType="separate"/>
            </w:r>
            <w:r>
              <w:rPr>
                <w:noProof/>
                <w:webHidden/>
              </w:rPr>
              <w:t>10</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73" w:history="1">
            <w:r w:rsidR="00D71755" w:rsidRPr="004F7154">
              <w:rPr>
                <w:rStyle w:val="Hypertextovodkaz"/>
                <w:noProof/>
              </w:rPr>
              <w:t>1.1.7</w:t>
            </w:r>
            <w:r w:rsidR="00D71755">
              <w:rPr>
                <w:rFonts w:asciiTheme="minorHAnsi" w:eastAsiaTheme="minorEastAsia" w:hAnsiTheme="minorHAnsi"/>
                <w:noProof/>
                <w:sz w:val="22"/>
                <w:szCs w:val="22"/>
                <w:lang w:eastAsia="cs-CZ"/>
              </w:rPr>
              <w:tab/>
            </w:r>
            <w:r w:rsidR="00D71755" w:rsidRPr="004F7154">
              <w:rPr>
                <w:rStyle w:val="Hypertextovodkaz"/>
                <w:noProof/>
              </w:rPr>
              <w:t>Trakční vedení</w:t>
            </w:r>
            <w:r w:rsidR="00D71755">
              <w:rPr>
                <w:noProof/>
                <w:webHidden/>
              </w:rPr>
              <w:tab/>
            </w:r>
            <w:r w:rsidR="00D71755">
              <w:rPr>
                <w:noProof/>
                <w:webHidden/>
              </w:rPr>
              <w:fldChar w:fldCharType="begin"/>
            </w:r>
            <w:r w:rsidR="00D71755">
              <w:rPr>
                <w:noProof/>
                <w:webHidden/>
              </w:rPr>
              <w:instrText xml:space="preserve"> PAGEREF _Toc40186573 \h </w:instrText>
            </w:r>
            <w:r w:rsidR="00D71755">
              <w:rPr>
                <w:noProof/>
                <w:webHidden/>
              </w:rPr>
            </w:r>
            <w:r w:rsidR="00D71755">
              <w:rPr>
                <w:noProof/>
                <w:webHidden/>
              </w:rPr>
              <w:fldChar w:fldCharType="separate"/>
            </w:r>
            <w:r>
              <w:rPr>
                <w:noProof/>
                <w:webHidden/>
              </w:rPr>
              <w:t>11</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574" w:history="1">
            <w:r w:rsidR="00D71755" w:rsidRPr="004F7154">
              <w:rPr>
                <w:rStyle w:val="Hypertextovodkaz"/>
                <w:noProof/>
              </w:rPr>
              <w:t>2</w:t>
            </w:r>
            <w:r w:rsidR="00D71755">
              <w:rPr>
                <w:rFonts w:asciiTheme="minorHAnsi" w:eastAsiaTheme="minorEastAsia" w:hAnsiTheme="minorHAnsi"/>
                <w:noProof/>
                <w:sz w:val="22"/>
                <w:szCs w:val="22"/>
                <w:lang w:eastAsia="cs-CZ"/>
              </w:rPr>
              <w:tab/>
            </w:r>
            <w:r w:rsidR="00D71755" w:rsidRPr="004F7154">
              <w:rPr>
                <w:rStyle w:val="Hypertextovodkaz"/>
                <w:noProof/>
              </w:rPr>
              <w:t>Kontext, lokalizace a technické řešení projektu</w:t>
            </w:r>
            <w:r w:rsidR="00D71755">
              <w:rPr>
                <w:noProof/>
                <w:webHidden/>
              </w:rPr>
              <w:tab/>
            </w:r>
            <w:r w:rsidR="00D71755">
              <w:rPr>
                <w:noProof/>
                <w:webHidden/>
              </w:rPr>
              <w:fldChar w:fldCharType="begin"/>
            </w:r>
            <w:r w:rsidR="00D71755">
              <w:rPr>
                <w:noProof/>
                <w:webHidden/>
              </w:rPr>
              <w:instrText xml:space="preserve"> PAGEREF _Toc40186574 \h </w:instrText>
            </w:r>
            <w:r w:rsidR="00D71755">
              <w:rPr>
                <w:noProof/>
                <w:webHidden/>
              </w:rPr>
            </w:r>
            <w:r w:rsidR="00D71755">
              <w:rPr>
                <w:noProof/>
                <w:webHidden/>
              </w:rPr>
              <w:fldChar w:fldCharType="separate"/>
            </w:r>
            <w:r>
              <w:rPr>
                <w:noProof/>
                <w:webHidden/>
              </w:rPr>
              <w:t>12</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75" w:history="1">
            <w:r w:rsidR="00D71755" w:rsidRPr="004F7154">
              <w:rPr>
                <w:rStyle w:val="Hypertextovodkaz"/>
                <w:noProof/>
              </w:rPr>
              <w:t>2.1</w:t>
            </w:r>
            <w:r w:rsidR="00D71755">
              <w:rPr>
                <w:rFonts w:asciiTheme="minorHAnsi" w:eastAsiaTheme="minorEastAsia" w:hAnsiTheme="minorHAnsi"/>
                <w:noProof/>
                <w:sz w:val="22"/>
                <w:szCs w:val="22"/>
                <w:lang w:eastAsia="cs-CZ"/>
              </w:rPr>
              <w:tab/>
            </w:r>
            <w:r w:rsidR="00D71755" w:rsidRPr="004F7154">
              <w:rPr>
                <w:rStyle w:val="Hypertextovodkaz"/>
                <w:noProof/>
              </w:rPr>
              <w:t>Cíle a varianty řešení studie proveditelnosti</w:t>
            </w:r>
            <w:r w:rsidR="00D71755">
              <w:rPr>
                <w:noProof/>
                <w:webHidden/>
              </w:rPr>
              <w:tab/>
            </w:r>
            <w:r w:rsidR="00D71755">
              <w:rPr>
                <w:noProof/>
                <w:webHidden/>
              </w:rPr>
              <w:fldChar w:fldCharType="begin"/>
            </w:r>
            <w:r w:rsidR="00D71755">
              <w:rPr>
                <w:noProof/>
                <w:webHidden/>
              </w:rPr>
              <w:instrText xml:space="preserve"> PAGEREF _Toc40186575 \h </w:instrText>
            </w:r>
            <w:r w:rsidR="00D71755">
              <w:rPr>
                <w:noProof/>
                <w:webHidden/>
              </w:rPr>
            </w:r>
            <w:r w:rsidR="00D71755">
              <w:rPr>
                <w:noProof/>
                <w:webHidden/>
              </w:rPr>
              <w:fldChar w:fldCharType="separate"/>
            </w:r>
            <w:r>
              <w:rPr>
                <w:noProof/>
                <w:webHidden/>
              </w:rPr>
              <w:t>12</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76" w:history="1">
            <w:r w:rsidR="00D71755" w:rsidRPr="004F7154">
              <w:rPr>
                <w:rStyle w:val="Hypertextovodkaz"/>
                <w:noProof/>
              </w:rPr>
              <w:t>2.2</w:t>
            </w:r>
            <w:r w:rsidR="00D71755">
              <w:rPr>
                <w:rFonts w:asciiTheme="minorHAnsi" w:eastAsiaTheme="minorEastAsia" w:hAnsiTheme="minorHAnsi"/>
                <w:noProof/>
                <w:sz w:val="22"/>
                <w:szCs w:val="22"/>
                <w:lang w:eastAsia="cs-CZ"/>
              </w:rPr>
              <w:tab/>
            </w:r>
            <w:r w:rsidR="00D71755" w:rsidRPr="004F7154">
              <w:rPr>
                <w:rStyle w:val="Hypertextovodkaz"/>
                <w:noProof/>
              </w:rPr>
              <w:t>Varianty řešení navržení v rámci SP</w:t>
            </w:r>
            <w:r w:rsidR="00D71755">
              <w:rPr>
                <w:noProof/>
                <w:webHidden/>
              </w:rPr>
              <w:tab/>
            </w:r>
            <w:r w:rsidR="00D71755">
              <w:rPr>
                <w:noProof/>
                <w:webHidden/>
              </w:rPr>
              <w:fldChar w:fldCharType="begin"/>
            </w:r>
            <w:r w:rsidR="00D71755">
              <w:rPr>
                <w:noProof/>
                <w:webHidden/>
              </w:rPr>
              <w:instrText xml:space="preserve"> PAGEREF _Toc40186576 \h </w:instrText>
            </w:r>
            <w:r w:rsidR="00D71755">
              <w:rPr>
                <w:noProof/>
                <w:webHidden/>
              </w:rPr>
            </w:r>
            <w:r w:rsidR="00D71755">
              <w:rPr>
                <w:noProof/>
                <w:webHidden/>
              </w:rPr>
              <w:fldChar w:fldCharType="separate"/>
            </w:r>
            <w:r>
              <w:rPr>
                <w:noProof/>
                <w:webHidden/>
              </w:rPr>
              <w:t>13</w:t>
            </w:r>
            <w:r w:rsidR="00D71755">
              <w:rPr>
                <w:noProof/>
                <w:webHidden/>
              </w:rPr>
              <w:fldChar w:fldCharType="end"/>
            </w:r>
          </w:hyperlink>
        </w:p>
        <w:p w:rsidR="00D71755" w:rsidRDefault="00EF042C">
          <w:pPr>
            <w:pStyle w:val="Obsah3"/>
            <w:rPr>
              <w:rFonts w:asciiTheme="minorHAnsi" w:eastAsiaTheme="minorEastAsia" w:hAnsiTheme="minorHAnsi"/>
              <w:noProof/>
              <w:sz w:val="22"/>
              <w:szCs w:val="22"/>
              <w:lang w:eastAsia="cs-CZ"/>
            </w:rPr>
          </w:pPr>
          <w:hyperlink w:anchor="_Toc40186577" w:history="1">
            <w:r w:rsidR="00D71755" w:rsidRPr="004F7154">
              <w:rPr>
                <w:rStyle w:val="Hypertextovodkaz"/>
                <w:noProof/>
              </w:rPr>
              <w:t>Varianta 2</w:t>
            </w:r>
            <w:r w:rsidR="00D71755">
              <w:rPr>
                <w:noProof/>
                <w:webHidden/>
              </w:rPr>
              <w:tab/>
            </w:r>
            <w:r w:rsidR="00D71755">
              <w:rPr>
                <w:noProof/>
                <w:webHidden/>
              </w:rPr>
              <w:fldChar w:fldCharType="begin"/>
            </w:r>
            <w:r w:rsidR="00D71755">
              <w:rPr>
                <w:noProof/>
                <w:webHidden/>
              </w:rPr>
              <w:instrText xml:space="preserve"> PAGEREF _Toc40186577 \h </w:instrText>
            </w:r>
            <w:r w:rsidR="00D71755">
              <w:rPr>
                <w:noProof/>
                <w:webHidden/>
              </w:rPr>
            </w:r>
            <w:r w:rsidR="00D71755">
              <w:rPr>
                <w:noProof/>
                <w:webHidden/>
              </w:rPr>
              <w:fldChar w:fldCharType="separate"/>
            </w:r>
            <w:r>
              <w:rPr>
                <w:noProof/>
                <w:webHidden/>
              </w:rPr>
              <w:t>14</w:t>
            </w:r>
            <w:r w:rsidR="00D71755">
              <w:rPr>
                <w:noProof/>
                <w:webHidden/>
              </w:rPr>
              <w:fldChar w:fldCharType="end"/>
            </w:r>
          </w:hyperlink>
        </w:p>
        <w:p w:rsidR="00D71755" w:rsidRDefault="00EF042C">
          <w:pPr>
            <w:pStyle w:val="Obsah3"/>
            <w:rPr>
              <w:rFonts w:asciiTheme="minorHAnsi" w:eastAsiaTheme="minorEastAsia" w:hAnsiTheme="minorHAnsi"/>
              <w:noProof/>
              <w:sz w:val="22"/>
              <w:szCs w:val="22"/>
              <w:lang w:eastAsia="cs-CZ"/>
            </w:rPr>
          </w:pPr>
          <w:hyperlink w:anchor="_Toc40186578" w:history="1">
            <w:r w:rsidR="00D71755" w:rsidRPr="004F7154">
              <w:rPr>
                <w:rStyle w:val="Hypertextovodkaz"/>
                <w:noProof/>
              </w:rPr>
              <w:t>Varianta 3</w:t>
            </w:r>
            <w:r w:rsidR="00D71755">
              <w:rPr>
                <w:noProof/>
                <w:webHidden/>
              </w:rPr>
              <w:tab/>
            </w:r>
            <w:r w:rsidR="00D71755">
              <w:rPr>
                <w:noProof/>
                <w:webHidden/>
              </w:rPr>
              <w:fldChar w:fldCharType="begin"/>
            </w:r>
            <w:r w:rsidR="00D71755">
              <w:rPr>
                <w:noProof/>
                <w:webHidden/>
              </w:rPr>
              <w:instrText xml:space="preserve"> PAGEREF _Toc40186578 \h </w:instrText>
            </w:r>
            <w:r w:rsidR="00D71755">
              <w:rPr>
                <w:noProof/>
                <w:webHidden/>
              </w:rPr>
            </w:r>
            <w:r w:rsidR="00D71755">
              <w:rPr>
                <w:noProof/>
                <w:webHidden/>
              </w:rPr>
              <w:fldChar w:fldCharType="separate"/>
            </w:r>
            <w:r>
              <w:rPr>
                <w:noProof/>
                <w:webHidden/>
              </w:rPr>
              <w:t>14</w:t>
            </w:r>
            <w:r w:rsidR="00D71755">
              <w:rPr>
                <w:noProof/>
                <w:webHidden/>
              </w:rPr>
              <w:fldChar w:fldCharType="end"/>
            </w:r>
          </w:hyperlink>
        </w:p>
        <w:p w:rsidR="00D71755" w:rsidRDefault="00EF042C">
          <w:pPr>
            <w:pStyle w:val="Obsah3"/>
            <w:rPr>
              <w:rFonts w:asciiTheme="minorHAnsi" w:eastAsiaTheme="minorEastAsia" w:hAnsiTheme="minorHAnsi"/>
              <w:noProof/>
              <w:sz w:val="22"/>
              <w:szCs w:val="22"/>
              <w:lang w:eastAsia="cs-CZ"/>
            </w:rPr>
          </w:pPr>
          <w:hyperlink w:anchor="_Toc40186579" w:history="1">
            <w:r w:rsidR="00D71755" w:rsidRPr="004F7154">
              <w:rPr>
                <w:rStyle w:val="Hypertextovodkaz"/>
                <w:noProof/>
              </w:rPr>
              <w:t>Varianta 4</w:t>
            </w:r>
            <w:r w:rsidR="00D71755">
              <w:rPr>
                <w:noProof/>
                <w:webHidden/>
              </w:rPr>
              <w:tab/>
            </w:r>
            <w:r w:rsidR="00D71755">
              <w:rPr>
                <w:noProof/>
                <w:webHidden/>
              </w:rPr>
              <w:fldChar w:fldCharType="begin"/>
            </w:r>
            <w:r w:rsidR="00D71755">
              <w:rPr>
                <w:noProof/>
                <w:webHidden/>
              </w:rPr>
              <w:instrText xml:space="preserve"> PAGEREF _Toc40186579 \h </w:instrText>
            </w:r>
            <w:r w:rsidR="00D71755">
              <w:rPr>
                <w:noProof/>
                <w:webHidden/>
              </w:rPr>
            </w:r>
            <w:r w:rsidR="00D71755">
              <w:rPr>
                <w:noProof/>
                <w:webHidden/>
              </w:rPr>
              <w:fldChar w:fldCharType="separate"/>
            </w:r>
            <w:r>
              <w:rPr>
                <w:noProof/>
                <w:webHidden/>
              </w:rPr>
              <w:t>14</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80" w:history="1">
            <w:r w:rsidR="00D71755" w:rsidRPr="004F7154">
              <w:rPr>
                <w:rStyle w:val="Hypertextovodkaz"/>
                <w:noProof/>
              </w:rPr>
              <w:t>2.3</w:t>
            </w:r>
            <w:r w:rsidR="00D71755">
              <w:rPr>
                <w:rFonts w:asciiTheme="minorHAnsi" w:eastAsiaTheme="minorEastAsia" w:hAnsiTheme="minorHAnsi"/>
                <w:noProof/>
                <w:sz w:val="22"/>
                <w:szCs w:val="22"/>
                <w:lang w:eastAsia="cs-CZ"/>
              </w:rPr>
              <w:tab/>
            </w:r>
            <w:r w:rsidR="00D71755" w:rsidRPr="004F7154">
              <w:rPr>
                <w:rStyle w:val="Hypertextovodkaz"/>
                <w:noProof/>
              </w:rPr>
              <w:t>Technické řešení</w:t>
            </w:r>
            <w:r w:rsidR="00D71755">
              <w:rPr>
                <w:noProof/>
                <w:webHidden/>
              </w:rPr>
              <w:tab/>
            </w:r>
            <w:r w:rsidR="00D71755">
              <w:rPr>
                <w:noProof/>
                <w:webHidden/>
              </w:rPr>
              <w:fldChar w:fldCharType="begin"/>
            </w:r>
            <w:r w:rsidR="00D71755">
              <w:rPr>
                <w:noProof/>
                <w:webHidden/>
              </w:rPr>
              <w:instrText xml:space="preserve"> PAGEREF _Toc40186580 \h </w:instrText>
            </w:r>
            <w:r w:rsidR="00D71755">
              <w:rPr>
                <w:noProof/>
                <w:webHidden/>
              </w:rPr>
            </w:r>
            <w:r w:rsidR="00D71755">
              <w:rPr>
                <w:noProof/>
                <w:webHidden/>
              </w:rPr>
              <w:fldChar w:fldCharType="separate"/>
            </w:r>
            <w:r>
              <w:rPr>
                <w:noProof/>
                <w:webHidden/>
              </w:rPr>
              <w:t>14</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81" w:history="1">
            <w:r w:rsidR="00D71755" w:rsidRPr="004F7154">
              <w:rPr>
                <w:rStyle w:val="Hypertextovodkaz"/>
                <w:noProof/>
              </w:rPr>
              <w:t>2.4</w:t>
            </w:r>
            <w:r w:rsidR="00D71755">
              <w:rPr>
                <w:rFonts w:asciiTheme="minorHAnsi" w:eastAsiaTheme="minorEastAsia" w:hAnsiTheme="minorHAnsi"/>
                <w:noProof/>
                <w:sz w:val="22"/>
                <w:szCs w:val="22"/>
                <w:lang w:eastAsia="cs-CZ"/>
              </w:rPr>
              <w:tab/>
            </w:r>
            <w:r w:rsidR="00D71755" w:rsidRPr="004F7154">
              <w:rPr>
                <w:rStyle w:val="Hypertextovodkaz"/>
                <w:noProof/>
              </w:rPr>
              <w:t>Analýza dopravy a přepravních vztahů</w:t>
            </w:r>
            <w:r w:rsidR="00D71755">
              <w:rPr>
                <w:noProof/>
                <w:webHidden/>
              </w:rPr>
              <w:tab/>
            </w:r>
            <w:r w:rsidR="00D71755">
              <w:rPr>
                <w:noProof/>
                <w:webHidden/>
              </w:rPr>
              <w:fldChar w:fldCharType="begin"/>
            </w:r>
            <w:r w:rsidR="00D71755">
              <w:rPr>
                <w:noProof/>
                <w:webHidden/>
              </w:rPr>
              <w:instrText xml:space="preserve"> PAGEREF _Toc40186581 \h </w:instrText>
            </w:r>
            <w:r w:rsidR="00D71755">
              <w:rPr>
                <w:noProof/>
                <w:webHidden/>
              </w:rPr>
            </w:r>
            <w:r w:rsidR="00D71755">
              <w:rPr>
                <w:noProof/>
                <w:webHidden/>
              </w:rPr>
              <w:fldChar w:fldCharType="separate"/>
            </w:r>
            <w:r>
              <w:rPr>
                <w:noProof/>
                <w:webHidden/>
              </w:rPr>
              <w:t>15</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82" w:history="1">
            <w:r w:rsidR="00D71755" w:rsidRPr="004F7154">
              <w:rPr>
                <w:rStyle w:val="Hypertextovodkaz"/>
                <w:noProof/>
              </w:rPr>
              <w:t>2.4.1</w:t>
            </w:r>
            <w:r w:rsidR="00D71755">
              <w:rPr>
                <w:rFonts w:asciiTheme="minorHAnsi" w:eastAsiaTheme="minorEastAsia" w:hAnsiTheme="minorHAnsi"/>
                <w:noProof/>
                <w:sz w:val="22"/>
                <w:szCs w:val="22"/>
                <w:lang w:eastAsia="cs-CZ"/>
              </w:rPr>
              <w:tab/>
            </w:r>
            <w:r w:rsidR="00D71755" w:rsidRPr="004F7154">
              <w:rPr>
                <w:rStyle w:val="Hypertextovodkaz"/>
                <w:noProof/>
              </w:rPr>
              <w:t>Současný rozsah dopravy</w:t>
            </w:r>
            <w:r w:rsidR="00D71755">
              <w:rPr>
                <w:noProof/>
                <w:webHidden/>
              </w:rPr>
              <w:tab/>
            </w:r>
            <w:r w:rsidR="00D71755">
              <w:rPr>
                <w:noProof/>
                <w:webHidden/>
              </w:rPr>
              <w:fldChar w:fldCharType="begin"/>
            </w:r>
            <w:r w:rsidR="00D71755">
              <w:rPr>
                <w:noProof/>
                <w:webHidden/>
              </w:rPr>
              <w:instrText xml:space="preserve"> PAGEREF _Toc40186582 \h </w:instrText>
            </w:r>
            <w:r w:rsidR="00D71755">
              <w:rPr>
                <w:noProof/>
                <w:webHidden/>
              </w:rPr>
            </w:r>
            <w:r w:rsidR="00D71755">
              <w:rPr>
                <w:noProof/>
                <w:webHidden/>
              </w:rPr>
              <w:fldChar w:fldCharType="separate"/>
            </w:r>
            <w:r>
              <w:rPr>
                <w:noProof/>
                <w:webHidden/>
              </w:rPr>
              <w:t>15</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83" w:history="1">
            <w:r w:rsidR="00D71755" w:rsidRPr="004F7154">
              <w:rPr>
                <w:rStyle w:val="Hypertextovodkaz"/>
                <w:noProof/>
              </w:rPr>
              <w:t>2.4.2</w:t>
            </w:r>
            <w:r w:rsidR="00D71755">
              <w:rPr>
                <w:rFonts w:asciiTheme="minorHAnsi" w:eastAsiaTheme="minorEastAsia" w:hAnsiTheme="minorHAnsi"/>
                <w:noProof/>
                <w:sz w:val="22"/>
                <w:szCs w:val="22"/>
                <w:lang w:eastAsia="cs-CZ"/>
              </w:rPr>
              <w:tab/>
            </w:r>
            <w:r w:rsidR="00D71755" w:rsidRPr="004F7154">
              <w:rPr>
                <w:rStyle w:val="Hypertextovodkaz"/>
                <w:noProof/>
              </w:rPr>
              <w:t>Výhledový rozsah dopravy</w:t>
            </w:r>
            <w:r w:rsidR="00D71755">
              <w:rPr>
                <w:noProof/>
                <w:webHidden/>
              </w:rPr>
              <w:tab/>
            </w:r>
            <w:r w:rsidR="00D71755">
              <w:rPr>
                <w:noProof/>
                <w:webHidden/>
              </w:rPr>
              <w:fldChar w:fldCharType="begin"/>
            </w:r>
            <w:r w:rsidR="00D71755">
              <w:rPr>
                <w:noProof/>
                <w:webHidden/>
              </w:rPr>
              <w:instrText xml:space="preserve"> PAGEREF _Toc40186583 \h </w:instrText>
            </w:r>
            <w:r w:rsidR="00D71755">
              <w:rPr>
                <w:noProof/>
                <w:webHidden/>
              </w:rPr>
            </w:r>
            <w:r w:rsidR="00D71755">
              <w:rPr>
                <w:noProof/>
                <w:webHidden/>
              </w:rPr>
              <w:fldChar w:fldCharType="separate"/>
            </w:r>
            <w:r>
              <w:rPr>
                <w:noProof/>
                <w:webHidden/>
              </w:rPr>
              <w:t>16</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84" w:history="1">
            <w:r w:rsidR="00D71755" w:rsidRPr="004F7154">
              <w:rPr>
                <w:rStyle w:val="Hypertextovodkaz"/>
                <w:noProof/>
              </w:rPr>
              <w:t>2.4.3</w:t>
            </w:r>
            <w:r w:rsidR="00D71755">
              <w:rPr>
                <w:rFonts w:asciiTheme="minorHAnsi" w:eastAsiaTheme="minorEastAsia" w:hAnsiTheme="minorHAnsi"/>
                <w:noProof/>
                <w:sz w:val="22"/>
                <w:szCs w:val="22"/>
                <w:lang w:eastAsia="cs-CZ"/>
              </w:rPr>
              <w:tab/>
            </w:r>
            <w:r w:rsidR="00D71755" w:rsidRPr="004F7154">
              <w:rPr>
                <w:rStyle w:val="Hypertextovodkaz"/>
                <w:noProof/>
              </w:rPr>
              <w:t>Nákladní doprava</w:t>
            </w:r>
            <w:r w:rsidR="00D71755">
              <w:rPr>
                <w:noProof/>
                <w:webHidden/>
              </w:rPr>
              <w:tab/>
            </w:r>
            <w:r w:rsidR="00D71755">
              <w:rPr>
                <w:noProof/>
                <w:webHidden/>
              </w:rPr>
              <w:fldChar w:fldCharType="begin"/>
            </w:r>
            <w:r w:rsidR="00D71755">
              <w:rPr>
                <w:noProof/>
                <w:webHidden/>
              </w:rPr>
              <w:instrText xml:space="preserve"> PAGEREF _Toc40186584 \h </w:instrText>
            </w:r>
            <w:r w:rsidR="00D71755">
              <w:rPr>
                <w:noProof/>
                <w:webHidden/>
              </w:rPr>
            </w:r>
            <w:r w:rsidR="00D71755">
              <w:rPr>
                <w:noProof/>
                <w:webHidden/>
              </w:rPr>
              <w:fldChar w:fldCharType="separate"/>
            </w:r>
            <w:r>
              <w:rPr>
                <w:noProof/>
                <w:webHidden/>
              </w:rPr>
              <w:t>18</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85" w:history="1">
            <w:r w:rsidR="00D71755" w:rsidRPr="004F7154">
              <w:rPr>
                <w:rStyle w:val="Hypertextovodkaz"/>
                <w:noProof/>
              </w:rPr>
              <w:t>2.4.4</w:t>
            </w:r>
            <w:r w:rsidR="00D71755">
              <w:rPr>
                <w:rFonts w:asciiTheme="minorHAnsi" w:eastAsiaTheme="minorEastAsia" w:hAnsiTheme="minorHAnsi"/>
                <w:noProof/>
                <w:sz w:val="22"/>
                <w:szCs w:val="22"/>
                <w:lang w:eastAsia="cs-CZ"/>
              </w:rPr>
              <w:tab/>
            </w:r>
            <w:r w:rsidR="00D71755" w:rsidRPr="004F7154">
              <w:rPr>
                <w:rStyle w:val="Hypertextovodkaz"/>
                <w:noProof/>
              </w:rPr>
              <w:t>Návrh vozby pro jednotlivé relace</w:t>
            </w:r>
            <w:r w:rsidR="00D71755">
              <w:rPr>
                <w:noProof/>
                <w:webHidden/>
              </w:rPr>
              <w:tab/>
            </w:r>
            <w:r w:rsidR="00D71755">
              <w:rPr>
                <w:noProof/>
                <w:webHidden/>
              </w:rPr>
              <w:fldChar w:fldCharType="begin"/>
            </w:r>
            <w:r w:rsidR="00D71755">
              <w:rPr>
                <w:noProof/>
                <w:webHidden/>
              </w:rPr>
              <w:instrText xml:space="preserve"> PAGEREF _Toc40186585 \h </w:instrText>
            </w:r>
            <w:r w:rsidR="00D71755">
              <w:rPr>
                <w:noProof/>
                <w:webHidden/>
              </w:rPr>
            </w:r>
            <w:r w:rsidR="00D71755">
              <w:rPr>
                <w:noProof/>
                <w:webHidden/>
              </w:rPr>
              <w:fldChar w:fldCharType="separate"/>
            </w:r>
            <w:r>
              <w:rPr>
                <w:noProof/>
                <w:webHidden/>
              </w:rPr>
              <w:t>19</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586" w:history="1">
            <w:r w:rsidR="00D71755" w:rsidRPr="004F7154">
              <w:rPr>
                <w:rStyle w:val="Hypertextovodkaz"/>
                <w:noProof/>
              </w:rPr>
              <w:t>3</w:t>
            </w:r>
            <w:r w:rsidR="00D71755">
              <w:rPr>
                <w:rFonts w:asciiTheme="minorHAnsi" w:eastAsiaTheme="minorEastAsia" w:hAnsiTheme="minorHAnsi"/>
                <w:noProof/>
                <w:sz w:val="22"/>
                <w:szCs w:val="22"/>
                <w:lang w:eastAsia="cs-CZ"/>
              </w:rPr>
              <w:tab/>
            </w:r>
            <w:r w:rsidR="00D71755" w:rsidRPr="004F7154">
              <w:rPr>
                <w:rStyle w:val="Hypertextovodkaz"/>
                <w:noProof/>
              </w:rPr>
              <w:t>Analýza přepravního trhu</w:t>
            </w:r>
            <w:r w:rsidR="00D71755">
              <w:rPr>
                <w:noProof/>
                <w:webHidden/>
              </w:rPr>
              <w:tab/>
            </w:r>
            <w:r w:rsidR="00D71755">
              <w:rPr>
                <w:noProof/>
                <w:webHidden/>
              </w:rPr>
              <w:fldChar w:fldCharType="begin"/>
            </w:r>
            <w:r w:rsidR="00D71755">
              <w:rPr>
                <w:noProof/>
                <w:webHidden/>
              </w:rPr>
              <w:instrText xml:space="preserve"> PAGEREF _Toc40186586 \h </w:instrText>
            </w:r>
            <w:r w:rsidR="00D71755">
              <w:rPr>
                <w:noProof/>
                <w:webHidden/>
              </w:rPr>
            </w:r>
            <w:r w:rsidR="00D71755">
              <w:rPr>
                <w:noProof/>
                <w:webHidden/>
              </w:rPr>
              <w:fldChar w:fldCharType="separate"/>
            </w:r>
            <w:r>
              <w:rPr>
                <w:noProof/>
                <w:webHidden/>
              </w:rPr>
              <w:t>19</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87" w:history="1">
            <w:r w:rsidR="00D71755" w:rsidRPr="004F7154">
              <w:rPr>
                <w:rStyle w:val="Hypertextovodkaz"/>
                <w:noProof/>
              </w:rPr>
              <w:t>3.1</w:t>
            </w:r>
            <w:r w:rsidR="00D71755">
              <w:rPr>
                <w:rFonts w:asciiTheme="minorHAnsi" w:eastAsiaTheme="minorEastAsia" w:hAnsiTheme="minorHAnsi"/>
                <w:noProof/>
                <w:sz w:val="22"/>
                <w:szCs w:val="22"/>
                <w:lang w:eastAsia="cs-CZ"/>
              </w:rPr>
              <w:tab/>
            </w:r>
            <w:r w:rsidR="00D71755" w:rsidRPr="004F7154">
              <w:rPr>
                <w:rStyle w:val="Hypertextovodkaz"/>
                <w:noProof/>
              </w:rPr>
              <w:t>Přepravní prognóza osobní dopravy</w:t>
            </w:r>
            <w:r w:rsidR="00D71755">
              <w:rPr>
                <w:noProof/>
                <w:webHidden/>
              </w:rPr>
              <w:tab/>
            </w:r>
            <w:r w:rsidR="00D71755">
              <w:rPr>
                <w:noProof/>
                <w:webHidden/>
              </w:rPr>
              <w:fldChar w:fldCharType="begin"/>
            </w:r>
            <w:r w:rsidR="00D71755">
              <w:rPr>
                <w:noProof/>
                <w:webHidden/>
              </w:rPr>
              <w:instrText xml:space="preserve"> PAGEREF _Toc40186587 \h </w:instrText>
            </w:r>
            <w:r w:rsidR="00D71755">
              <w:rPr>
                <w:noProof/>
                <w:webHidden/>
              </w:rPr>
            </w:r>
            <w:r w:rsidR="00D71755">
              <w:rPr>
                <w:noProof/>
                <w:webHidden/>
              </w:rPr>
              <w:fldChar w:fldCharType="separate"/>
            </w:r>
            <w:r>
              <w:rPr>
                <w:noProof/>
                <w:webHidden/>
              </w:rPr>
              <w:t>20</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88" w:history="1">
            <w:r w:rsidR="00D71755" w:rsidRPr="004F7154">
              <w:rPr>
                <w:rStyle w:val="Hypertextovodkaz"/>
                <w:noProof/>
              </w:rPr>
              <w:t>3.2</w:t>
            </w:r>
            <w:r w:rsidR="00D71755">
              <w:rPr>
                <w:rFonts w:asciiTheme="minorHAnsi" w:eastAsiaTheme="minorEastAsia" w:hAnsiTheme="minorHAnsi"/>
                <w:noProof/>
                <w:sz w:val="22"/>
                <w:szCs w:val="22"/>
                <w:lang w:eastAsia="cs-CZ"/>
              </w:rPr>
              <w:tab/>
            </w:r>
            <w:r w:rsidR="00D71755" w:rsidRPr="004F7154">
              <w:rPr>
                <w:rStyle w:val="Hypertextovodkaz"/>
                <w:noProof/>
              </w:rPr>
              <w:t>Nákladní doprava</w:t>
            </w:r>
            <w:r w:rsidR="00D71755">
              <w:rPr>
                <w:noProof/>
                <w:webHidden/>
              </w:rPr>
              <w:tab/>
            </w:r>
            <w:r w:rsidR="00D71755">
              <w:rPr>
                <w:noProof/>
                <w:webHidden/>
              </w:rPr>
              <w:fldChar w:fldCharType="begin"/>
            </w:r>
            <w:r w:rsidR="00D71755">
              <w:rPr>
                <w:noProof/>
                <w:webHidden/>
              </w:rPr>
              <w:instrText xml:space="preserve"> PAGEREF _Toc40186588 \h </w:instrText>
            </w:r>
            <w:r w:rsidR="00D71755">
              <w:rPr>
                <w:noProof/>
                <w:webHidden/>
              </w:rPr>
            </w:r>
            <w:r w:rsidR="00D71755">
              <w:rPr>
                <w:noProof/>
                <w:webHidden/>
              </w:rPr>
              <w:fldChar w:fldCharType="separate"/>
            </w:r>
            <w:r>
              <w:rPr>
                <w:noProof/>
                <w:webHidden/>
              </w:rPr>
              <w:t>21</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89" w:history="1">
            <w:r w:rsidR="00D71755" w:rsidRPr="004F7154">
              <w:rPr>
                <w:rStyle w:val="Hypertextovodkaz"/>
                <w:noProof/>
              </w:rPr>
              <w:t>3.3</w:t>
            </w:r>
            <w:r w:rsidR="00D71755">
              <w:rPr>
                <w:rFonts w:asciiTheme="minorHAnsi" w:eastAsiaTheme="minorEastAsia" w:hAnsiTheme="minorHAnsi"/>
                <w:noProof/>
                <w:sz w:val="22"/>
                <w:szCs w:val="22"/>
                <w:lang w:eastAsia="cs-CZ"/>
              </w:rPr>
              <w:tab/>
            </w:r>
            <w:r w:rsidR="00D71755" w:rsidRPr="004F7154">
              <w:rPr>
                <w:rStyle w:val="Hypertextovodkaz"/>
                <w:noProof/>
              </w:rPr>
              <w:t>Přepravní výkony</w:t>
            </w:r>
            <w:r w:rsidR="00D71755">
              <w:rPr>
                <w:noProof/>
                <w:webHidden/>
              </w:rPr>
              <w:tab/>
            </w:r>
            <w:r w:rsidR="00D71755">
              <w:rPr>
                <w:noProof/>
                <w:webHidden/>
              </w:rPr>
              <w:fldChar w:fldCharType="begin"/>
            </w:r>
            <w:r w:rsidR="00D71755">
              <w:rPr>
                <w:noProof/>
                <w:webHidden/>
              </w:rPr>
              <w:instrText xml:space="preserve"> PAGEREF _Toc40186589 \h </w:instrText>
            </w:r>
            <w:r w:rsidR="00D71755">
              <w:rPr>
                <w:noProof/>
                <w:webHidden/>
              </w:rPr>
            </w:r>
            <w:r w:rsidR="00D71755">
              <w:rPr>
                <w:noProof/>
                <w:webHidden/>
              </w:rPr>
              <w:fldChar w:fldCharType="separate"/>
            </w:r>
            <w:r>
              <w:rPr>
                <w:noProof/>
                <w:webHidden/>
              </w:rPr>
              <w:t>22</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590" w:history="1">
            <w:r w:rsidR="00D71755" w:rsidRPr="004F7154">
              <w:rPr>
                <w:rStyle w:val="Hypertextovodkaz"/>
                <w:noProof/>
              </w:rPr>
              <w:t>4</w:t>
            </w:r>
            <w:r w:rsidR="00D71755">
              <w:rPr>
                <w:rFonts w:asciiTheme="minorHAnsi" w:eastAsiaTheme="minorEastAsia" w:hAnsiTheme="minorHAnsi"/>
                <w:noProof/>
                <w:sz w:val="22"/>
                <w:szCs w:val="22"/>
                <w:lang w:eastAsia="cs-CZ"/>
              </w:rPr>
              <w:tab/>
            </w:r>
            <w:r w:rsidR="00D71755" w:rsidRPr="004F7154">
              <w:rPr>
                <w:rStyle w:val="Hypertextovodkaz"/>
                <w:noProof/>
              </w:rPr>
              <w:t>Metodika ekonomického hodnocení – analýza CBA</w:t>
            </w:r>
            <w:r w:rsidR="00D71755">
              <w:rPr>
                <w:noProof/>
                <w:webHidden/>
              </w:rPr>
              <w:tab/>
            </w:r>
            <w:r w:rsidR="00D71755">
              <w:rPr>
                <w:noProof/>
                <w:webHidden/>
              </w:rPr>
              <w:fldChar w:fldCharType="begin"/>
            </w:r>
            <w:r w:rsidR="00D71755">
              <w:rPr>
                <w:noProof/>
                <w:webHidden/>
              </w:rPr>
              <w:instrText xml:space="preserve"> PAGEREF _Toc40186590 \h </w:instrText>
            </w:r>
            <w:r w:rsidR="00D71755">
              <w:rPr>
                <w:noProof/>
                <w:webHidden/>
              </w:rPr>
            </w:r>
            <w:r w:rsidR="00D71755">
              <w:rPr>
                <w:noProof/>
                <w:webHidden/>
              </w:rPr>
              <w:fldChar w:fldCharType="separate"/>
            </w:r>
            <w:r>
              <w:rPr>
                <w:noProof/>
                <w:webHidden/>
              </w:rPr>
              <w:t>25</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91" w:history="1">
            <w:r w:rsidR="00D71755" w:rsidRPr="004F7154">
              <w:rPr>
                <w:rStyle w:val="Hypertextovodkaz"/>
                <w:noProof/>
              </w:rPr>
              <w:t>4.1</w:t>
            </w:r>
            <w:r w:rsidR="00D71755">
              <w:rPr>
                <w:rFonts w:asciiTheme="minorHAnsi" w:eastAsiaTheme="minorEastAsia" w:hAnsiTheme="minorHAnsi"/>
                <w:noProof/>
                <w:sz w:val="22"/>
                <w:szCs w:val="22"/>
                <w:lang w:eastAsia="cs-CZ"/>
              </w:rPr>
              <w:tab/>
            </w:r>
            <w:r w:rsidR="00D71755" w:rsidRPr="004F7154">
              <w:rPr>
                <w:rStyle w:val="Hypertextovodkaz"/>
                <w:noProof/>
              </w:rPr>
              <w:t>Ekonomické hodnocení SP železničního uzlu Ostrava 2015</w:t>
            </w:r>
            <w:r w:rsidR="00D71755">
              <w:rPr>
                <w:noProof/>
                <w:webHidden/>
              </w:rPr>
              <w:tab/>
            </w:r>
            <w:r w:rsidR="00D71755">
              <w:rPr>
                <w:noProof/>
                <w:webHidden/>
              </w:rPr>
              <w:fldChar w:fldCharType="begin"/>
            </w:r>
            <w:r w:rsidR="00D71755">
              <w:rPr>
                <w:noProof/>
                <w:webHidden/>
              </w:rPr>
              <w:instrText xml:space="preserve"> PAGEREF _Toc40186591 \h </w:instrText>
            </w:r>
            <w:r w:rsidR="00D71755">
              <w:rPr>
                <w:noProof/>
                <w:webHidden/>
              </w:rPr>
            </w:r>
            <w:r w:rsidR="00D71755">
              <w:rPr>
                <w:noProof/>
                <w:webHidden/>
              </w:rPr>
              <w:fldChar w:fldCharType="separate"/>
            </w:r>
            <w:r>
              <w:rPr>
                <w:noProof/>
                <w:webHidden/>
              </w:rPr>
              <w:t>25</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92" w:history="1">
            <w:r w:rsidR="00D71755" w:rsidRPr="004F7154">
              <w:rPr>
                <w:rStyle w:val="Hypertextovodkaz"/>
                <w:noProof/>
              </w:rPr>
              <w:t>4.2</w:t>
            </w:r>
            <w:r w:rsidR="00D71755">
              <w:rPr>
                <w:rFonts w:asciiTheme="minorHAnsi" w:eastAsiaTheme="minorEastAsia" w:hAnsiTheme="minorHAnsi"/>
                <w:noProof/>
                <w:sz w:val="22"/>
                <w:szCs w:val="22"/>
                <w:lang w:eastAsia="cs-CZ"/>
              </w:rPr>
              <w:tab/>
            </w:r>
            <w:r w:rsidR="00D71755" w:rsidRPr="004F7154">
              <w:rPr>
                <w:rStyle w:val="Hypertextovodkaz"/>
                <w:noProof/>
              </w:rPr>
              <w:t>Definice základních pojmů</w:t>
            </w:r>
            <w:r w:rsidR="00D71755">
              <w:rPr>
                <w:noProof/>
                <w:webHidden/>
              </w:rPr>
              <w:tab/>
            </w:r>
            <w:r w:rsidR="00D71755">
              <w:rPr>
                <w:noProof/>
                <w:webHidden/>
              </w:rPr>
              <w:fldChar w:fldCharType="begin"/>
            </w:r>
            <w:r w:rsidR="00D71755">
              <w:rPr>
                <w:noProof/>
                <w:webHidden/>
              </w:rPr>
              <w:instrText xml:space="preserve"> PAGEREF _Toc40186592 \h </w:instrText>
            </w:r>
            <w:r w:rsidR="00D71755">
              <w:rPr>
                <w:noProof/>
                <w:webHidden/>
              </w:rPr>
            </w:r>
            <w:r w:rsidR="00D71755">
              <w:rPr>
                <w:noProof/>
                <w:webHidden/>
              </w:rPr>
              <w:fldChar w:fldCharType="separate"/>
            </w:r>
            <w:r>
              <w:rPr>
                <w:noProof/>
                <w:webHidden/>
              </w:rPr>
              <w:t>25</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93" w:history="1">
            <w:r w:rsidR="00D71755" w:rsidRPr="004F7154">
              <w:rPr>
                <w:rStyle w:val="Hypertextovodkaz"/>
                <w:noProof/>
              </w:rPr>
              <w:t>4.2.1</w:t>
            </w:r>
            <w:r w:rsidR="00D71755">
              <w:rPr>
                <w:rFonts w:asciiTheme="minorHAnsi" w:eastAsiaTheme="minorEastAsia" w:hAnsiTheme="minorHAnsi"/>
                <w:noProof/>
                <w:sz w:val="22"/>
                <w:szCs w:val="22"/>
                <w:lang w:eastAsia="cs-CZ"/>
              </w:rPr>
              <w:tab/>
            </w:r>
            <w:r w:rsidR="00D71755" w:rsidRPr="004F7154">
              <w:rPr>
                <w:rStyle w:val="Hypertextovodkaz"/>
                <w:noProof/>
              </w:rPr>
              <w:t>Stanovení referenčního období</w:t>
            </w:r>
            <w:r w:rsidR="00D71755">
              <w:rPr>
                <w:noProof/>
                <w:webHidden/>
              </w:rPr>
              <w:tab/>
            </w:r>
            <w:r w:rsidR="00D71755">
              <w:rPr>
                <w:noProof/>
                <w:webHidden/>
              </w:rPr>
              <w:fldChar w:fldCharType="begin"/>
            </w:r>
            <w:r w:rsidR="00D71755">
              <w:rPr>
                <w:noProof/>
                <w:webHidden/>
              </w:rPr>
              <w:instrText xml:space="preserve"> PAGEREF _Toc40186593 \h </w:instrText>
            </w:r>
            <w:r w:rsidR="00D71755">
              <w:rPr>
                <w:noProof/>
                <w:webHidden/>
              </w:rPr>
            </w:r>
            <w:r w:rsidR="00D71755">
              <w:rPr>
                <w:noProof/>
                <w:webHidden/>
              </w:rPr>
              <w:fldChar w:fldCharType="separate"/>
            </w:r>
            <w:r>
              <w:rPr>
                <w:noProof/>
                <w:webHidden/>
              </w:rPr>
              <w:t>25</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94" w:history="1">
            <w:r w:rsidR="00D71755" w:rsidRPr="004F7154">
              <w:rPr>
                <w:rStyle w:val="Hypertextovodkaz"/>
                <w:noProof/>
              </w:rPr>
              <w:t>4.2.2</w:t>
            </w:r>
            <w:r w:rsidR="00D71755">
              <w:rPr>
                <w:rFonts w:asciiTheme="minorHAnsi" w:eastAsiaTheme="minorEastAsia" w:hAnsiTheme="minorHAnsi"/>
                <w:noProof/>
                <w:sz w:val="22"/>
                <w:szCs w:val="22"/>
                <w:lang w:eastAsia="cs-CZ"/>
              </w:rPr>
              <w:tab/>
            </w:r>
            <w:r w:rsidR="00D71755" w:rsidRPr="004F7154">
              <w:rPr>
                <w:rStyle w:val="Hypertextovodkaz"/>
                <w:noProof/>
              </w:rPr>
              <w:t>Cenová úroveň</w:t>
            </w:r>
            <w:r w:rsidR="00D71755">
              <w:rPr>
                <w:noProof/>
                <w:webHidden/>
              </w:rPr>
              <w:tab/>
            </w:r>
            <w:r w:rsidR="00D71755">
              <w:rPr>
                <w:noProof/>
                <w:webHidden/>
              </w:rPr>
              <w:fldChar w:fldCharType="begin"/>
            </w:r>
            <w:r w:rsidR="00D71755">
              <w:rPr>
                <w:noProof/>
                <w:webHidden/>
              </w:rPr>
              <w:instrText xml:space="preserve"> PAGEREF _Toc40186594 \h </w:instrText>
            </w:r>
            <w:r w:rsidR="00D71755">
              <w:rPr>
                <w:noProof/>
                <w:webHidden/>
              </w:rPr>
            </w:r>
            <w:r w:rsidR="00D71755">
              <w:rPr>
                <w:noProof/>
                <w:webHidden/>
              </w:rPr>
              <w:fldChar w:fldCharType="separate"/>
            </w:r>
            <w:r>
              <w:rPr>
                <w:noProof/>
                <w:webHidden/>
              </w:rPr>
              <w:t>26</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595" w:history="1">
            <w:r w:rsidR="00D71755" w:rsidRPr="004F7154">
              <w:rPr>
                <w:rStyle w:val="Hypertextovodkaz"/>
                <w:noProof/>
              </w:rPr>
              <w:t>5</w:t>
            </w:r>
            <w:r w:rsidR="00D71755">
              <w:rPr>
                <w:rFonts w:asciiTheme="minorHAnsi" w:eastAsiaTheme="minorEastAsia" w:hAnsiTheme="minorHAnsi"/>
                <w:noProof/>
                <w:sz w:val="22"/>
                <w:szCs w:val="22"/>
                <w:lang w:eastAsia="cs-CZ"/>
              </w:rPr>
              <w:tab/>
            </w:r>
            <w:r w:rsidR="00D71755" w:rsidRPr="004F7154">
              <w:rPr>
                <w:rStyle w:val="Hypertextovodkaz"/>
                <w:noProof/>
              </w:rPr>
              <w:t>Finanční analýza</w:t>
            </w:r>
            <w:r w:rsidR="00D71755">
              <w:rPr>
                <w:noProof/>
                <w:webHidden/>
              </w:rPr>
              <w:tab/>
            </w:r>
            <w:r w:rsidR="00D71755">
              <w:rPr>
                <w:noProof/>
                <w:webHidden/>
              </w:rPr>
              <w:fldChar w:fldCharType="begin"/>
            </w:r>
            <w:r w:rsidR="00D71755">
              <w:rPr>
                <w:noProof/>
                <w:webHidden/>
              </w:rPr>
              <w:instrText xml:space="preserve"> PAGEREF _Toc40186595 \h </w:instrText>
            </w:r>
            <w:r w:rsidR="00D71755">
              <w:rPr>
                <w:noProof/>
                <w:webHidden/>
              </w:rPr>
            </w:r>
            <w:r w:rsidR="00D71755">
              <w:rPr>
                <w:noProof/>
                <w:webHidden/>
              </w:rPr>
              <w:fldChar w:fldCharType="separate"/>
            </w:r>
            <w:r>
              <w:rPr>
                <w:noProof/>
                <w:webHidden/>
              </w:rPr>
              <w:t>26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96" w:history="1">
            <w:r w:rsidR="00D71755" w:rsidRPr="004F7154">
              <w:rPr>
                <w:rStyle w:val="Hypertextovodkaz"/>
                <w:noProof/>
              </w:rPr>
              <w:t>5.1</w:t>
            </w:r>
            <w:r w:rsidR="00D71755">
              <w:rPr>
                <w:rFonts w:asciiTheme="minorHAnsi" w:eastAsiaTheme="minorEastAsia" w:hAnsiTheme="minorHAnsi"/>
                <w:noProof/>
                <w:sz w:val="22"/>
                <w:szCs w:val="22"/>
                <w:lang w:eastAsia="cs-CZ"/>
              </w:rPr>
              <w:tab/>
            </w:r>
            <w:r w:rsidR="00D71755" w:rsidRPr="004F7154">
              <w:rPr>
                <w:rStyle w:val="Hypertextovodkaz"/>
                <w:noProof/>
              </w:rPr>
              <w:t>Investiční náklady</w:t>
            </w:r>
            <w:r w:rsidR="00D71755">
              <w:rPr>
                <w:noProof/>
                <w:webHidden/>
              </w:rPr>
              <w:tab/>
            </w:r>
            <w:r w:rsidR="00D71755">
              <w:rPr>
                <w:noProof/>
                <w:webHidden/>
              </w:rPr>
              <w:fldChar w:fldCharType="begin"/>
            </w:r>
            <w:r w:rsidR="00D71755">
              <w:rPr>
                <w:noProof/>
                <w:webHidden/>
              </w:rPr>
              <w:instrText xml:space="preserve"> PAGEREF _Toc40186596 \h </w:instrText>
            </w:r>
            <w:r w:rsidR="00D71755">
              <w:rPr>
                <w:noProof/>
                <w:webHidden/>
              </w:rPr>
            </w:r>
            <w:r w:rsidR="00D71755">
              <w:rPr>
                <w:noProof/>
                <w:webHidden/>
              </w:rPr>
              <w:fldChar w:fldCharType="separate"/>
            </w:r>
            <w:r>
              <w:rPr>
                <w:noProof/>
                <w:webHidden/>
              </w:rPr>
              <w:t>26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597" w:history="1">
            <w:r w:rsidR="00D71755" w:rsidRPr="004F7154">
              <w:rPr>
                <w:rStyle w:val="Hypertextovodkaz"/>
                <w:noProof/>
              </w:rPr>
              <w:t>5.2</w:t>
            </w:r>
            <w:r w:rsidR="00D71755">
              <w:rPr>
                <w:rFonts w:asciiTheme="minorHAnsi" w:eastAsiaTheme="minorEastAsia" w:hAnsiTheme="minorHAnsi"/>
                <w:noProof/>
                <w:sz w:val="22"/>
                <w:szCs w:val="22"/>
                <w:lang w:eastAsia="cs-CZ"/>
              </w:rPr>
              <w:tab/>
            </w:r>
            <w:r w:rsidR="00D71755" w:rsidRPr="004F7154">
              <w:rPr>
                <w:rStyle w:val="Hypertextovodkaz"/>
                <w:noProof/>
              </w:rPr>
              <w:t>Náklady na údržbu a opravy železniční infrastruktury</w:t>
            </w:r>
            <w:r w:rsidR="00D71755">
              <w:rPr>
                <w:noProof/>
                <w:webHidden/>
              </w:rPr>
              <w:tab/>
            </w:r>
            <w:r w:rsidR="00D71755">
              <w:rPr>
                <w:noProof/>
                <w:webHidden/>
              </w:rPr>
              <w:fldChar w:fldCharType="begin"/>
            </w:r>
            <w:r w:rsidR="00D71755">
              <w:rPr>
                <w:noProof/>
                <w:webHidden/>
              </w:rPr>
              <w:instrText xml:space="preserve"> PAGEREF _Toc40186597 \h </w:instrText>
            </w:r>
            <w:r w:rsidR="00D71755">
              <w:rPr>
                <w:noProof/>
                <w:webHidden/>
              </w:rPr>
            </w:r>
            <w:r w:rsidR="00D71755">
              <w:rPr>
                <w:noProof/>
                <w:webHidden/>
              </w:rPr>
              <w:fldChar w:fldCharType="separate"/>
            </w:r>
            <w:r>
              <w:rPr>
                <w:noProof/>
                <w:webHidden/>
              </w:rPr>
              <w:t>27</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98" w:history="1">
            <w:r w:rsidR="00D71755" w:rsidRPr="004F7154">
              <w:rPr>
                <w:rStyle w:val="Hypertextovodkaz"/>
                <w:noProof/>
              </w:rPr>
              <w:t>5.2.1</w:t>
            </w:r>
            <w:r w:rsidR="00D71755">
              <w:rPr>
                <w:rFonts w:asciiTheme="minorHAnsi" w:eastAsiaTheme="minorEastAsia" w:hAnsiTheme="minorHAnsi"/>
                <w:noProof/>
                <w:sz w:val="22"/>
                <w:szCs w:val="22"/>
                <w:lang w:eastAsia="cs-CZ"/>
              </w:rPr>
              <w:tab/>
            </w:r>
            <w:r w:rsidR="00D71755" w:rsidRPr="004F7154">
              <w:rPr>
                <w:rStyle w:val="Hypertextovodkaz"/>
                <w:noProof/>
              </w:rPr>
              <w:t>Náklady na údržbu</w:t>
            </w:r>
            <w:r w:rsidR="00D71755">
              <w:rPr>
                <w:noProof/>
                <w:webHidden/>
              </w:rPr>
              <w:tab/>
            </w:r>
            <w:r w:rsidR="00D71755">
              <w:rPr>
                <w:noProof/>
                <w:webHidden/>
              </w:rPr>
              <w:fldChar w:fldCharType="begin"/>
            </w:r>
            <w:r w:rsidR="00D71755">
              <w:rPr>
                <w:noProof/>
                <w:webHidden/>
              </w:rPr>
              <w:instrText xml:space="preserve"> PAGEREF _Toc40186598 \h </w:instrText>
            </w:r>
            <w:r w:rsidR="00D71755">
              <w:rPr>
                <w:noProof/>
                <w:webHidden/>
              </w:rPr>
            </w:r>
            <w:r w:rsidR="00D71755">
              <w:rPr>
                <w:noProof/>
                <w:webHidden/>
              </w:rPr>
              <w:fldChar w:fldCharType="separate"/>
            </w:r>
            <w:r>
              <w:rPr>
                <w:noProof/>
                <w:webHidden/>
              </w:rPr>
              <w:t>27</w:t>
            </w:r>
            <w:r w:rsidR="00D71755">
              <w:rPr>
                <w:noProof/>
                <w:webHidden/>
              </w:rPr>
              <w:fldChar w:fldCharType="end"/>
            </w:r>
          </w:hyperlink>
        </w:p>
        <w:p w:rsidR="00D71755" w:rsidRDefault="00EF042C">
          <w:pPr>
            <w:pStyle w:val="Obsah3"/>
            <w:tabs>
              <w:tab w:val="left" w:pos="1100"/>
            </w:tabs>
            <w:rPr>
              <w:rFonts w:asciiTheme="minorHAnsi" w:eastAsiaTheme="minorEastAsia" w:hAnsiTheme="minorHAnsi"/>
              <w:noProof/>
              <w:sz w:val="22"/>
              <w:szCs w:val="22"/>
              <w:lang w:eastAsia="cs-CZ"/>
            </w:rPr>
          </w:pPr>
          <w:hyperlink w:anchor="_Toc40186599" w:history="1">
            <w:r w:rsidR="00D71755" w:rsidRPr="004F7154">
              <w:rPr>
                <w:rStyle w:val="Hypertextovodkaz"/>
                <w:noProof/>
              </w:rPr>
              <w:t>5.2.2</w:t>
            </w:r>
            <w:r w:rsidR="00D71755">
              <w:rPr>
                <w:rFonts w:asciiTheme="minorHAnsi" w:eastAsiaTheme="minorEastAsia" w:hAnsiTheme="minorHAnsi"/>
                <w:noProof/>
                <w:sz w:val="22"/>
                <w:szCs w:val="22"/>
                <w:lang w:eastAsia="cs-CZ"/>
              </w:rPr>
              <w:tab/>
            </w:r>
            <w:r w:rsidR="00D71755" w:rsidRPr="004F7154">
              <w:rPr>
                <w:rStyle w:val="Hypertextovodkaz"/>
                <w:noProof/>
              </w:rPr>
              <w:t>Náklady na výměnu vybavení – tzv. reinvestice</w:t>
            </w:r>
            <w:r w:rsidR="00D71755">
              <w:rPr>
                <w:noProof/>
                <w:webHidden/>
              </w:rPr>
              <w:tab/>
            </w:r>
            <w:r w:rsidR="00D71755">
              <w:rPr>
                <w:noProof/>
                <w:webHidden/>
              </w:rPr>
              <w:fldChar w:fldCharType="begin"/>
            </w:r>
            <w:r w:rsidR="00D71755">
              <w:rPr>
                <w:noProof/>
                <w:webHidden/>
              </w:rPr>
              <w:instrText xml:space="preserve"> PAGEREF _Toc40186599 \h </w:instrText>
            </w:r>
            <w:r w:rsidR="00D71755">
              <w:rPr>
                <w:noProof/>
                <w:webHidden/>
              </w:rPr>
            </w:r>
            <w:r w:rsidR="00D71755">
              <w:rPr>
                <w:noProof/>
                <w:webHidden/>
              </w:rPr>
              <w:fldChar w:fldCharType="separate"/>
            </w:r>
            <w:r>
              <w:rPr>
                <w:noProof/>
                <w:webHidden/>
              </w:rPr>
              <w:t>28</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0" w:history="1">
            <w:r w:rsidR="00D71755" w:rsidRPr="004F7154">
              <w:rPr>
                <w:rStyle w:val="Hypertextovodkaz"/>
                <w:noProof/>
              </w:rPr>
              <w:t>5.3</w:t>
            </w:r>
            <w:r w:rsidR="00D71755">
              <w:rPr>
                <w:rFonts w:asciiTheme="minorHAnsi" w:eastAsiaTheme="minorEastAsia" w:hAnsiTheme="minorHAnsi"/>
                <w:noProof/>
                <w:sz w:val="22"/>
                <w:szCs w:val="22"/>
                <w:lang w:eastAsia="cs-CZ"/>
              </w:rPr>
              <w:tab/>
            </w:r>
            <w:r w:rsidR="00D71755" w:rsidRPr="004F7154">
              <w:rPr>
                <w:rStyle w:val="Hypertextovodkaz"/>
                <w:noProof/>
              </w:rPr>
              <w:t>Náklady na zaměstnance řízení dopravy</w:t>
            </w:r>
            <w:r w:rsidR="00D71755">
              <w:rPr>
                <w:noProof/>
                <w:webHidden/>
              </w:rPr>
              <w:tab/>
            </w:r>
            <w:r w:rsidR="00D71755">
              <w:rPr>
                <w:noProof/>
                <w:webHidden/>
              </w:rPr>
              <w:fldChar w:fldCharType="begin"/>
            </w:r>
            <w:r w:rsidR="00D71755">
              <w:rPr>
                <w:noProof/>
                <w:webHidden/>
              </w:rPr>
              <w:instrText xml:space="preserve"> PAGEREF _Toc40186600 \h </w:instrText>
            </w:r>
            <w:r w:rsidR="00D71755">
              <w:rPr>
                <w:noProof/>
                <w:webHidden/>
              </w:rPr>
            </w:r>
            <w:r w:rsidR="00D71755">
              <w:rPr>
                <w:noProof/>
                <w:webHidden/>
              </w:rPr>
              <w:fldChar w:fldCharType="separate"/>
            </w:r>
            <w:r>
              <w:rPr>
                <w:noProof/>
                <w:webHidden/>
              </w:rPr>
              <w:t>31</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1" w:history="1">
            <w:r w:rsidR="00D71755" w:rsidRPr="004F7154">
              <w:rPr>
                <w:rStyle w:val="Hypertextovodkaz"/>
                <w:noProof/>
              </w:rPr>
              <w:t>5.4</w:t>
            </w:r>
            <w:r w:rsidR="00D71755">
              <w:rPr>
                <w:rFonts w:asciiTheme="minorHAnsi" w:eastAsiaTheme="minorEastAsia" w:hAnsiTheme="minorHAnsi"/>
                <w:noProof/>
                <w:sz w:val="22"/>
                <w:szCs w:val="22"/>
                <w:lang w:eastAsia="cs-CZ"/>
              </w:rPr>
              <w:tab/>
            </w:r>
            <w:r w:rsidR="00D71755" w:rsidRPr="004F7154">
              <w:rPr>
                <w:rStyle w:val="Hypertextovodkaz"/>
                <w:noProof/>
              </w:rPr>
              <w:t>Příjmy z poplatku za použití dopravní cesty</w:t>
            </w:r>
            <w:r w:rsidR="00D71755">
              <w:rPr>
                <w:noProof/>
                <w:webHidden/>
              </w:rPr>
              <w:tab/>
            </w:r>
            <w:r w:rsidR="00D71755">
              <w:rPr>
                <w:noProof/>
                <w:webHidden/>
              </w:rPr>
              <w:fldChar w:fldCharType="begin"/>
            </w:r>
            <w:r w:rsidR="00D71755">
              <w:rPr>
                <w:noProof/>
                <w:webHidden/>
              </w:rPr>
              <w:instrText xml:space="preserve"> PAGEREF _Toc40186601 \h </w:instrText>
            </w:r>
            <w:r w:rsidR="00D71755">
              <w:rPr>
                <w:noProof/>
                <w:webHidden/>
              </w:rPr>
            </w:r>
            <w:r w:rsidR="00D71755">
              <w:rPr>
                <w:noProof/>
                <w:webHidden/>
              </w:rPr>
              <w:fldChar w:fldCharType="separate"/>
            </w:r>
            <w:r>
              <w:rPr>
                <w:noProof/>
                <w:webHidden/>
              </w:rPr>
              <w:t>32</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2" w:history="1">
            <w:r w:rsidR="00D71755" w:rsidRPr="004F7154">
              <w:rPr>
                <w:rStyle w:val="Hypertextovodkaz"/>
                <w:noProof/>
              </w:rPr>
              <w:t>5.5</w:t>
            </w:r>
            <w:r w:rsidR="00D71755">
              <w:rPr>
                <w:rFonts w:asciiTheme="minorHAnsi" w:eastAsiaTheme="minorEastAsia" w:hAnsiTheme="minorHAnsi"/>
                <w:noProof/>
                <w:sz w:val="22"/>
                <w:szCs w:val="22"/>
                <w:lang w:eastAsia="cs-CZ"/>
              </w:rPr>
              <w:tab/>
            </w:r>
            <w:r w:rsidR="00D71755" w:rsidRPr="004F7154">
              <w:rPr>
                <w:rStyle w:val="Hypertextovodkaz"/>
                <w:noProof/>
              </w:rPr>
              <w:t>Zůstatková hodnota</w:t>
            </w:r>
            <w:r w:rsidR="00D71755">
              <w:rPr>
                <w:noProof/>
                <w:webHidden/>
              </w:rPr>
              <w:tab/>
            </w:r>
            <w:r w:rsidR="00D71755">
              <w:rPr>
                <w:noProof/>
                <w:webHidden/>
              </w:rPr>
              <w:fldChar w:fldCharType="begin"/>
            </w:r>
            <w:r w:rsidR="00D71755">
              <w:rPr>
                <w:noProof/>
                <w:webHidden/>
              </w:rPr>
              <w:instrText xml:space="preserve"> PAGEREF _Toc40186602 \h </w:instrText>
            </w:r>
            <w:r w:rsidR="00D71755">
              <w:rPr>
                <w:noProof/>
                <w:webHidden/>
              </w:rPr>
            </w:r>
            <w:r w:rsidR="00D71755">
              <w:rPr>
                <w:noProof/>
                <w:webHidden/>
              </w:rPr>
              <w:fldChar w:fldCharType="separate"/>
            </w:r>
            <w:r>
              <w:rPr>
                <w:noProof/>
                <w:webHidden/>
              </w:rPr>
              <w:t>33</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3" w:history="1">
            <w:r w:rsidR="00D71755" w:rsidRPr="004F7154">
              <w:rPr>
                <w:rStyle w:val="Hypertextovodkaz"/>
                <w:noProof/>
              </w:rPr>
              <w:t>5.6</w:t>
            </w:r>
            <w:r w:rsidR="00D71755">
              <w:rPr>
                <w:rFonts w:asciiTheme="minorHAnsi" w:eastAsiaTheme="minorEastAsia" w:hAnsiTheme="minorHAnsi"/>
                <w:noProof/>
                <w:sz w:val="22"/>
                <w:szCs w:val="22"/>
                <w:lang w:eastAsia="cs-CZ"/>
              </w:rPr>
              <w:tab/>
            </w:r>
            <w:r w:rsidR="00D71755" w:rsidRPr="004F7154">
              <w:rPr>
                <w:rStyle w:val="Hypertextovodkaz"/>
                <w:noProof/>
              </w:rPr>
              <w:t>Finanční analýza</w:t>
            </w:r>
            <w:r w:rsidR="00D71755">
              <w:rPr>
                <w:noProof/>
                <w:webHidden/>
              </w:rPr>
              <w:tab/>
            </w:r>
            <w:r w:rsidR="00D71755">
              <w:rPr>
                <w:noProof/>
                <w:webHidden/>
              </w:rPr>
              <w:fldChar w:fldCharType="begin"/>
            </w:r>
            <w:r w:rsidR="00D71755">
              <w:rPr>
                <w:noProof/>
                <w:webHidden/>
              </w:rPr>
              <w:instrText xml:space="preserve"> PAGEREF _Toc40186603 \h </w:instrText>
            </w:r>
            <w:r w:rsidR="00D71755">
              <w:rPr>
                <w:noProof/>
                <w:webHidden/>
              </w:rPr>
            </w:r>
            <w:r w:rsidR="00D71755">
              <w:rPr>
                <w:noProof/>
                <w:webHidden/>
              </w:rPr>
              <w:fldChar w:fldCharType="separate"/>
            </w:r>
            <w:r>
              <w:rPr>
                <w:noProof/>
                <w:webHidden/>
              </w:rPr>
              <w:t>35</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604" w:history="1">
            <w:r w:rsidR="00D71755" w:rsidRPr="004F7154">
              <w:rPr>
                <w:rStyle w:val="Hypertextovodkaz"/>
                <w:noProof/>
              </w:rPr>
              <w:t>6</w:t>
            </w:r>
            <w:r w:rsidR="00D71755">
              <w:rPr>
                <w:rFonts w:asciiTheme="minorHAnsi" w:eastAsiaTheme="minorEastAsia" w:hAnsiTheme="minorHAnsi"/>
                <w:noProof/>
                <w:sz w:val="22"/>
                <w:szCs w:val="22"/>
                <w:lang w:eastAsia="cs-CZ"/>
              </w:rPr>
              <w:tab/>
            </w:r>
            <w:r w:rsidR="00D71755" w:rsidRPr="004F7154">
              <w:rPr>
                <w:rStyle w:val="Hypertextovodkaz"/>
                <w:noProof/>
              </w:rPr>
              <w:t>Ekonomická analýza</w:t>
            </w:r>
            <w:r w:rsidR="00D71755">
              <w:rPr>
                <w:noProof/>
                <w:webHidden/>
              </w:rPr>
              <w:tab/>
            </w:r>
            <w:r w:rsidR="00D71755">
              <w:rPr>
                <w:noProof/>
                <w:webHidden/>
              </w:rPr>
              <w:fldChar w:fldCharType="begin"/>
            </w:r>
            <w:r w:rsidR="00D71755">
              <w:rPr>
                <w:noProof/>
                <w:webHidden/>
              </w:rPr>
              <w:instrText xml:space="preserve"> PAGEREF _Toc40186604 \h </w:instrText>
            </w:r>
            <w:r w:rsidR="00D71755">
              <w:rPr>
                <w:noProof/>
                <w:webHidden/>
              </w:rPr>
            </w:r>
            <w:r w:rsidR="00D71755">
              <w:rPr>
                <w:noProof/>
                <w:webHidden/>
              </w:rPr>
              <w:fldChar w:fldCharType="separate"/>
            </w:r>
            <w:r>
              <w:rPr>
                <w:noProof/>
                <w:webHidden/>
              </w:rPr>
              <w:t>36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5" w:history="1">
            <w:r w:rsidR="00D71755" w:rsidRPr="004F7154">
              <w:rPr>
                <w:rStyle w:val="Hypertextovodkaz"/>
                <w:noProof/>
              </w:rPr>
              <w:t>6.1</w:t>
            </w:r>
            <w:r w:rsidR="00D71755">
              <w:rPr>
                <w:rFonts w:asciiTheme="minorHAnsi" w:eastAsiaTheme="minorEastAsia" w:hAnsiTheme="minorHAnsi"/>
                <w:noProof/>
                <w:sz w:val="22"/>
                <w:szCs w:val="22"/>
                <w:lang w:eastAsia="cs-CZ"/>
              </w:rPr>
              <w:tab/>
            </w:r>
            <w:r w:rsidR="00D71755" w:rsidRPr="004F7154">
              <w:rPr>
                <w:rStyle w:val="Hypertextovodkaz"/>
                <w:noProof/>
              </w:rPr>
              <w:t>Fiskální úpravy</w:t>
            </w:r>
            <w:r w:rsidR="00D71755">
              <w:rPr>
                <w:noProof/>
                <w:webHidden/>
              </w:rPr>
              <w:tab/>
            </w:r>
            <w:r w:rsidR="00D71755">
              <w:rPr>
                <w:noProof/>
                <w:webHidden/>
              </w:rPr>
              <w:fldChar w:fldCharType="begin"/>
            </w:r>
            <w:r w:rsidR="00D71755">
              <w:rPr>
                <w:noProof/>
                <w:webHidden/>
              </w:rPr>
              <w:instrText xml:space="preserve"> PAGEREF _Toc40186605 \h </w:instrText>
            </w:r>
            <w:r w:rsidR="00D71755">
              <w:rPr>
                <w:noProof/>
                <w:webHidden/>
              </w:rPr>
            </w:r>
            <w:r w:rsidR="00D71755">
              <w:rPr>
                <w:noProof/>
                <w:webHidden/>
              </w:rPr>
              <w:fldChar w:fldCharType="separate"/>
            </w:r>
            <w:r>
              <w:rPr>
                <w:noProof/>
                <w:webHidden/>
              </w:rPr>
              <w:t>36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6" w:history="1">
            <w:r w:rsidR="00D71755" w:rsidRPr="004F7154">
              <w:rPr>
                <w:rStyle w:val="Hypertextovodkaz"/>
                <w:noProof/>
              </w:rPr>
              <w:t>6.2</w:t>
            </w:r>
            <w:r w:rsidR="00D71755">
              <w:rPr>
                <w:rFonts w:asciiTheme="minorHAnsi" w:eastAsiaTheme="minorEastAsia" w:hAnsiTheme="minorHAnsi"/>
                <w:noProof/>
                <w:sz w:val="22"/>
                <w:szCs w:val="22"/>
                <w:lang w:eastAsia="cs-CZ"/>
              </w:rPr>
              <w:tab/>
            </w:r>
            <w:r w:rsidR="00D71755" w:rsidRPr="004F7154">
              <w:rPr>
                <w:rStyle w:val="Hypertextovodkaz"/>
                <w:noProof/>
              </w:rPr>
              <w:t>Náklady na provoz vlaků</w:t>
            </w:r>
            <w:r w:rsidR="00D71755">
              <w:rPr>
                <w:noProof/>
                <w:webHidden/>
              </w:rPr>
              <w:tab/>
            </w:r>
            <w:r w:rsidR="00D71755">
              <w:rPr>
                <w:noProof/>
                <w:webHidden/>
              </w:rPr>
              <w:fldChar w:fldCharType="begin"/>
            </w:r>
            <w:r w:rsidR="00D71755">
              <w:rPr>
                <w:noProof/>
                <w:webHidden/>
              </w:rPr>
              <w:instrText xml:space="preserve"> PAGEREF _Toc40186606 \h </w:instrText>
            </w:r>
            <w:r w:rsidR="00D71755">
              <w:rPr>
                <w:noProof/>
                <w:webHidden/>
              </w:rPr>
            </w:r>
            <w:r w:rsidR="00D71755">
              <w:rPr>
                <w:noProof/>
                <w:webHidden/>
              </w:rPr>
              <w:fldChar w:fldCharType="separate"/>
            </w:r>
            <w:r>
              <w:rPr>
                <w:noProof/>
                <w:webHidden/>
              </w:rPr>
              <w:t>36</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7" w:history="1">
            <w:r w:rsidR="00D71755" w:rsidRPr="004F7154">
              <w:rPr>
                <w:rStyle w:val="Hypertextovodkaz"/>
                <w:noProof/>
              </w:rPr>
              <w:t>6.3</w:t>
            </w:r>
            <w:r w:rsidR="00D71755">
              <w:rPr>
                <w:rFonts w:asciiTheme="minorHAnsi" w:eastAsiaTheme="minorEastAsia" w:hAnsiTheme="minorHAnsi"/>
                <w:noProof/>
                <w:sz w:val="22"/>
                <w:szCs w:val="22"/>
                <w:lang w:eastAsia="cs-CZ"/>
              </w:rPr>
              <w:tab/>
            </w:r>
            <w:r w:rsidR="00D71755" w:rsidRPr="004F7154">
              <w:rPr>
                <w:rStyle w:val="Hypertextovodkaz"/>
                <w:noProof/>
              </w:rPr>
              <w:t>Přínos z úspory času</w:t>
            </w:r>
            <w:r w:rsidR="00D71755">
              <w:rPr>
                <w:noProof/>
                <w:webHidden/>
              </w:rPr>
              <w:tab/>
            </w:r>
            <w:r w:rsidR="00D71755">
              <w:rPr>
                <w:noProof/>
                <w:webHidden/>
              </w:rPr>
              <w:fldChar w:fldCharType="begin"/>
            </w:r>
            <w:r w:rsidR="00D71755">
              <w:rPr>
                <w:noProof/>
                <w:webHidden/>
              </w:rPr>
              <w:instrText xml:space="preserve"> PAGEREF _Toc40186607 \h </w:instrText>
            </w:r>
            <w:r w:rsidR="00D71755">
              <w:rPr>
                <w:noProof/>
                <w:webHidden/>
              </w:rPr>
            </w:r>
            <w:r w:rsidR="00D71755">
              <w:rPr>
                <w:noProof/>
                <w:webHidden/>
              </w:rPr>
              <w:fldChar w:fldCharType="separate"/>
            </w:r>
            <w:r>
              <w:rPr>
                <w:noProof/>
                <w:webHidden/>
              </w:rPr>
              <w:t>37</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8" w:history="1">
            <w:r w:rsidR="00D71755" w:rsidRPr="004F7154">
              <w:rPr>
                <w:rStyle w:val="Hypertextovodkaz"/>
                <w:noProof/>
              </w:rPr>
              <w:t>6.4</w:t>
            </w:r>
            <w:r w:rsidR="00D71755">
              <w:rPr>
                <w:rFonts w:asciiTheme="minorHAnsi" w:eastAsiaTheme="minorEastAsia" w:hAnsiTheme="minorHAnsi"/>
                <w:noProof/>
                <w:sz w:val="22"/>
                <w:szCs w:val="22"/>
                <w:lang w:eastAsia="cs-CZ"/>
              </w:rPr>
              <w:tab/>
            </w:r>
            <w:r w:rsidR="00D71755" w:rsidRPr="004F7154">
              <w:rPr>
                <w:rStyle w:val="Hypertextovodkaz"/>
                <w:noProof/>
              </w:rPr>
              <w:t>Přínosy z úspor vnějších účinků dopravy</w:t>
            </w:r>
            <w:r w:rsidR="00D71755">
              <w:rPr>
                <w:noProof/>
                <w:webHidden/>
              </w:rPr>
              <w:tab/>
            </w:r>
            <w:r w:rsidR="00D71755">
              <w:rPr>
                <w:noProof/>
                <w:webHidden/>
              </w:rPr>
              <w:fldChar w:fldCharType="begin"/>
            </w:r>
            <w:r w:rsidR="00D71755">
              <w:rPr>
                <w:noProof/>
                <w:webHidden/>
              </w:rPr>
              <w:instrText xml:space="preserve"> PAGEREF _Toc40186608 \h </w:instrText>
            </w:r>
            <w:r w:rsidR="00D71755">
              <w:rPr>
                <w:noProof/>
                <w:webHidden/>
              </w:rPr>
            </w:r>
            <w:r w:rsidR="00D71755">
              <w:rPr>
                <w:noProof/>
                <w:webHidden/>
              </w:rPr>
              <w:fldChar w:fldCharType="separate"/>
            </w:r>
            <w:r>
              <w:rPr>
                <w:noProof/>
                <w:webHidden/>
              </w:rPr>
              <w:t>39</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09" w:history="1">
            <w:r w:rsidR="00D71755" w:rsidRPr="004F7154">
              <w:rPr>
                <w:rStyle w:val="Hypertextovodkaz"/>
                <w:noProof/>
              </w:rPr>
              <w:t>6.5</w:t>
            </w:r>
            <w:r w:rsidR="00D71755">
              <w:rPr>
                <w:rFonts w:asciiTheme="minorHAnsi" w:eastAsiaTheme="minorEastAsia" w:hAnsiTheme="minorHAnsi"/>
                <w:noProof/>
                <w:sz w:val="22"/>
                <w:szCs w:val="22"/>
                <w:lang w:eastAsia="cs-CZ"/>
              </w:rPr>
              <w:tab/>
            </w:r>
            <w:r w:rsidR="00D71755" w:rsidRPr="004F7154">
              <w:rPr>
                <w:rStyle w:val="Hypertextovodkaz"/>
                <w:noProof/>
              </w:rPr>
              <w:t>Sestava ekonomické analýzy</w:t>
            </w:r>
            <w:r w:rsidR="00D71755">
              <w:rPr>
                <w:noProof/>
                <w:webHidden/>
              </w:rPr>
              <w:tab/>
            </w:r>
            <w:r w:rsidR="00D71755">
              <w:rPr>
                <w:noProof/>
                <w:webHidden/>
              </w:rPr>
              <w:fldChar w:fldCharType="begin"/>
            </w:r>
            <w:r w:rsidR="00D71755">
              <w:rPr>
                <w:noProof/>
                <w:webHidden/>
              </w:rPr>
              <w:instrText xml:space="preserve"> PAGEREF _Toc40186609 \h </w:instrText>
            </w:r>
            <w:r w:rsidR="00D71755">
              <w:rPr>
                <w:noProof/>
                <w:webHidden/>
              </w:rPr>
            </w:r>
            <w:r w:rsidR="00D71755">
              <w:rPr>
                <w:noProof/>
                <w:webHidden/>
              </w:rPr>
              <w:fldChar w:fldCharType="separate"/>
            </w:r>
            <w:r>
              <w:rPr>
                <w:noProof/>
                <w:webHidden/>
              </w:rPr>
              <w:t>42</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610" w:history="1">
            <w:r w:rsidR="00D71755" w:rsidRPr="004F7154">
              <w:rPr>
                <w:rStyle w:val="Hypertextovodkaz"/>
                <w:noProof/>
              </w:rPr>
              <w:t>7</w:t>
            </w:r>
            <w:r w:rsidR="00D71755">
              <w:rPr>
                <w:rFonts w:asciiTheme="minorHAnsi" w:eastAsiaTheme="minorEastAsia" w:hAnsiTheme="minorHAnsi"/>
                <w:noProof/>
                <w:sz w:val="22"/>
                <w:szCs w:val="22"/>
                <w:lang w:eastAsia="cs-CZ"/>
              </w:rPr>
              <w:tab/>
            </w:r>
            <w:r w:rsidR="00D71755" w:rsidRPr="004F7154">
              <w:rPr>
                <w:rStyle w:val="Hypertextovodkaz"/>
                <w:noProof/>
              </w:rPr>
              <w:t>Shrnutí výsledků finanční a ekonomické analýzy</w:t>
            </w:r>
            <w:r w:rsidR="00D71755">
              <w:rPr>
                <w:noProof/>
                <w:webHidden/>
              </w:rPr>
              <w:tab/>
            </w:r>
            <w:r w:rsidR="00D71755">
              <w:rPr>
                <w:noProof/>
                <w:webHidden/>
              </w:rPr>
              <w:fldChar w:fldCharType="begin"/>
            </w:r>
            <w:r w:rsidR="00D71755">
              <w:rPr>
                <w:noProof/>
                <w:webHidden/>
              </w:rPr>
              <w:instrText xml:space="preserve"> PAGEREF _Toc40186610 \h </w:instrText>
            </w:r>
            <w:r w:rsidR="00D71755">
              <w:rPr>
                <w:noProof/>
                <w:webHidden/>
              </w:rPr>
            </w:r>
            <w:r w:rsidR="00D71755">
              <w:rPr>
                <w:noProof/>
                <w:webHidden/>
              </w:rPr>
              <w:fldChar w:fldCharType="separate"/>
            </w:r>
            <w:r>
              <w:rPr>
                <w:noProof/>
                <w:webHidden/>
              </w:rPr>
              <w:t>43</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611" w:history="1">
            <w:r w:rsidR="00D71755" w:rsidRPr="004F7154">
              <w:rPr>
                <w:rStyle w:val="Hypertextovodkaz"/>
                <w:noProof/>
              </w:rPr>
              <w:t>8</w:t>
            </w:r>
            <w:r w:rsidR="00D71755">
              <w:rPr>
                <w:rFonts w:asciiTheme="minorHAnsi" w:eastAsiaTheme="minorEastAsia" w:hAnsiTheme="minorHAnsi"/>
                <w:noProof/>
                <w:sz w:val="22"/>
                <w:szCs w:val="22"/>
                <w:lang w:eastAsia="cs-CZ"/>
              </w:rPr>
              <w:tab/>
            </w:r>
            <w:r w:rsidR="00D71755" w:rsidRPr="004F7154">
              <w:rPr>
                <w:rStyle w:val="Hypertextovodkaz"/>
                <w:noProof/>
              </w:rPr>
              <w:t>Analýza citlivosti</w:t>
            </w:r>
            <w:r w:rsidR="00D71755">
              <w:rPr>
                <w:noProof/>
                <w:webHidden/>
              </w:rPr>
              <w:tab/>
            </w:r>
            <w:r w:rsidR="00D71755">
              <w:rPr>
                <w:noProof/>
                <w:webHidden/>
              </w:rPr>
              <w:fldChar w:fldCharType="begin"/>
            </w:r>
            <w:r w:rsidR="00D71755">
              <w:rPr>
                <w:noProof/>
                <w:webHidden/>
              </w:rPr>
              <w:instrText xml:space="preserve"> PAGEREF _Toc40186611 \h </w:instrText>
            </w:r>
            <w:r w:rsidR="00D71755">
              <w:rPr>
                <w:noProof/>
                <w:webHidden/>
              </w:rPr>
            </w:r>
            <w:r w:rsidR="00D71755">
              <w:rPr>
                <w:noProof/>
                <w:webHidden/>
              </w:rPr>
              <w:fldChar w:fldCharType="separate"/>
            </w:r>
            <w:r>
              <w:rPr>
                <w:noProof/>
                <w:webHidden/>
              </w:rPr>
              <w:t>44</w:t>
            </w:r>
            <w:r w:rsidR="00D71755">
              <w:rPr>
                <w:noProof/>
                <w:webHidden/>
              </w:rPr>
              <w:fldChar w:fldCharType="end"/>
            </w:r>
          </w:hyperlink>
        </w:p>
        <w:p w:rsidR="00D71755" w:rsidRDefault="00EF042C">
          <w:pPr>
            <w:pStyle w:val="Obsah2"/>
            <w:tabs>
              <w:tab w:val="left" w:pos="879"/>
            </w:tabs>
            <w:rPr>
              <w:rFonts w:asciiTheme="minorHAnsi" w:eastAsiaTheme="minorEastAsia" w:hAnsiTheme="minorHAnsi"/>
              <w:noProof/>
              <w:sz w:val="22"/>
              <w:szCs w:val="22"/>
              <w:lang w:eastAsia="cs-CZ"/>
            </w:rPr>
          </w:pPr>
          <w:hyperlink w:anchor="_Toc40186612" w:history="1">
            <w:r w:rsidR="00D71755" w:rsidRPr="004F7154">
              <w:rPr>
                <w:rStyle w:val="Hypertextovodkaz"/>
                <w:noProof/>
              </w:rPr>
              <w:t>8.1</w:t>
            </w:r>
            <w:r w:rsidR="00D71755">
              <w:rPr>
                <w:rFonts w:asciiTheme="minorHAnsi" w:eastAsiaTheme="minorEastAsia" w:hAnsiTheme="minorHAnsi"/>
                <w:noProof/>
                <w:sz w:val="22"/>
                <w:szCs w:val="22"/>
                <w:lang w:eastAsia="cs-CZ"/>
              </w:rPr>
              <w:tab/>
            </w:r>
            <w:r w:rsidR="00D71755" w:rsidRPr="004F7154">
              <w:rPr>
                <w:rStyle w:val="Hypertextovodkaz"/>
                <w:noProof/>
              </w:rPr>
              <w:t>Posouzení dopadů změny kritických proměnných na efektivitu projektu</w:t>
            </w:r>
            <w:r w:rsidR="00D71755">
              <w:rPr>
                <w:noProof/>
                <w:webHidden/>
              </w:rPr>
              <w:tab/>
            </w:r>
            <w:r w:rsidR="00D71755">
              <w:rPr>
                <w:noProof/>
                <w:webHidden/>
              </w:rPr>
              <w:fldChar w:fldCharType="begin"/>
            </w:r>
            <w:r w:rsidR="00D71755">
              <w:rPr>
                <w:noProof/>
                <w:webHidden/>
              </w:rPr>
              <w:instrText xml:space="preserve"> PAGEREF _Toc40186612 \h </w:instrText>
            </w:r>
            <w:r w:rsidR="00D71755">
              <w:rPr>
                <w:noProof/>
                <w:webHidden/>
              </w:rPr>
            </w:r>
            <w:r w:rsidR="00D71755">
              <w:rPr>
                <w:noProof/>
                <w:webHidden/>
              </w:rPr>
              <w:fldChar w:fldCharType="separate"/>
            </w:r>
            <w:r>
              <w:rPr>
                <w:noProof/>
                <w:webHidden/>
              </w:rPr>
              <w:t>45</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613" w:history="1">
            <w:r w:rsidR="00D71755" w:rsidRPr="004F7154">
              <w:rPr>
                <w:rStyle w:val="Hypertextovodkaz"/>
                <w:noProof/>
              </w:rPr>
              <w:t>9</w:t>
            </w:r>
            <w:r w:rsidR="00D71755">
              <w:rPr>
                <w:rFonts w:asciiTheme="minorHAnsi" w:eastAsiaTheme="minorEastAsia" w:hAnsiTheme="minorHAnsi"/>
                <w:noProof/>
                <w:sz w:val="22"/>
                <w:szCs w:val="22"/>
                <w:lang w:eastAsia="cs-CZ"/>
              </w:rPr>
              <w:tab/>
            </w:r>
            <w:r w:rsidR="00D71755" w:rsidRPr="004F7154">
              <w:rPr>
                <w:rStyle w:val="Hypertextovodkaz"/>
                <w:noProof/>
              </w:rPr>
              <w:t>Shrnutí</w:t>
            </w:r>
            <w:r w:rsidR="00D71755">
              <w:rPr>
                <w:noProof/>
                <w:webHidden/>
              </w:rPr>
              <w:tab/>
            </w:r>
            <w:r w:rsidR="00D71755">
              <w:rPr>
                <w:noProof/>
                <w:webHidden/>
              </w:rPr>
              <w:fldChar w:fldCharType="begin"/>
            </w:r>
            <w:r w:rsidR="00D71755">
              <w:rPr>
                <w:noProof/>
                <w:webHidden/>
              </w:rPr>
              <w:instrText xml:space="preserve"> PAGEREF _Toc40186613 \h </w:instrText>
            </w:r>
            <w:r w:rsidR="00D71755">
              <w:rPr>
                <w:noProof/>
                <w:webHidden/>
              </w:rPr>
            </w:r>
            <w:r w:rsidR="00D71755">
              <w:rPr>
                <w:noProof/>
                <w:webHidden/>
              </w:rPr>
              <w:fldChar w:fldCharType="separate"/>
            </w:r>
            <w:r>
              <w:rPr>
                <w:noProof/>
                <w:webHidden/>
              </w:rPr>
              <w:t>45</w:t>
            </w:r>
            <w:r w:rsidR="00D71755">
              <w:rPr>
                <w:noProof/>
                <w:webHidden/>
              </w:rPr>
              <w:fldChar w:fldCharType="end"/>
            </w:r>
          </w:hyperlink>
        </w:p>
        <w:p w:rsidR="00D71755" w:rsidRDefault="00EF042C">
          <w:pPr>
            <w:pStyle w:val="Obsah1"/>
            <w:tabs>
              <w:tab w:val="left" w:pos="442"/>
            </w:tabs>
            <w:rPr>
              <w:rFonts w:asciiTheme="minorHAnsi" w:eastAsiaTheme="minorEastAsia" w:hAnsiTheme="minorHAnsi"/>
              <w:noProof/>
              <w:sz w:val="22"/>
              <w:szCs w:val="22"/>
              <w:lang w:eastAsia="cs-CZ"/>
            </w:rPr>
          </w:pPr>
          <w:hyperlink w:anchor="_Toc40186614" w:history="1">
            <w:r w:rsidR="00D71755" w:rsidRPr="004F7154">
              <w:rPr>
                <w:rStyle w:val="Hypertextovodkaz"/>
                <w:noProof/>
              </w:rPr>
              <w:t>10</w:t>
            </w:r>
            <w:r w:rsidR="00D71755">
              <w:rPr>
                <w:rFonts w:asciiTheme="minorHAnsi" w:eastAsiaTheme="minorEastAsia" w:hAnsiTheme="minorHAnsi"/>
                <w:noProof/>
                <w:sz w:val="22"/>
                <w:szCs w:val="22"/>
                <w:lang w:eastAsia="cs-CZ"/>
              </w:rPr>
              <w:tab/>
            </w:r>
            <w:r w:rsidR="00D71755" w:rsidRPr="004F7154">
              <w:rPr>
                <w:rStyle w:val="Hypertextovodkaz"/>
                <w:noProof/>
              </w:rPr>
              <w:t>Přílohy</w:t>
            </w:r>
            <w:r w:rsidR="00D71755">
              <w:rPr>
                <w:noProof/>
                <w:webHidden/>
              </w:rPr>
              <w:tab/>
            </w:r>
            <w:r w:rsidR="00D71755">
              <w:rPr>
                <w:noProof/>
                <w:webHidden/>
              </w:rPr>
              <w:fldChar w:fldCharType="begin"/>
            </w:r>
            <w:r w:rsidR="00D71755">
              <w:rPr>
                <w:noProof/>
                <w:webHidden/>
              </w:rPr>
              <w:instrText xml:space="preserve"> PAGEREF _Toc40186614 \h </w:instrText>
            </w:r>
            <w:r w:rsidR="00D71755">
              <w:rPr>
                <w:noProof/>
                <w:webHidden/>
              </w:rPr>
            </w:r>
            <w:r w:rsidR="00D71755">
              <w:rPr>
                <w:noProof/>
                <w:webHidden/>
              </w:rPr>
              <w:fldChar w:fldCharType="separate"/>
            </w:r>
            <w:r>
              <w:rPr>
                <w:noProof/>
                <w:webHidden/>
              </w:rPr>
              <w:t>46</w:t>
            </w:r>
            <w:r w:rsidR="00D71755">
              <w:rPr>
                <w:noProof/>
                <w:webHidden/>
              </w:rPr>
              <w:fldChar w:fldCharType="end"/>
            </w:r>
          </w:hyperlink>
        </w:p>
        <w:p w:rsidR="00115334" w:rsidRPr="00115334" w:rsidRDefault="00115334">
          <w:pPr>
            <w:rPr>
              <w:sz w:val="24"/>
            </w:rPr>
          </w:pPr>
          <w:r w:rsidRPr="00115334">
            <w:rPr>
              <w:b/>
              <w:bCs/>
              <w:sz w:val="24"/>
            </w:rPr>
            <w:fldChar w:fldCharType="end"/>
          </w:r>
        </w:p>
      </w:sdtContent>
    </w:sdt>
    <w:p w:rsidR="00967D6F" w:rsidRDefault="00967D6F" w:rsidP="00967D6F">
      <w:pPr>
        <w:autoSpaceDE w:val="0"/>
        <w:autoSpaceDN w:val="0"/>
        <w:adjustRightInd w:val="0"/>
        <w:spacing w:after="0"/>
      </w:pPr>
    </w:p>
    <w:p w:rsidR="00967D6F" w:rsidRDefault="00967D6F" w:rsidP="00967D6F">
      <w:pPr>
        <w:autoSpaceDE w:val="0"/>
        <w:autoSpaceDN w:val="0"/>
        <w:adjustRightInd w:val="0"/>
        <w:spacing w:after="0"/>
      </w:pPr>
    </w:p>
    <w:p w:rsidR="008D798F" w:rsidRPr="00326421" w:rsidRDefault="00967D6F" w:rsidP="008D798F">
      <w:pPr>
        <w:pStyle w:val="Nadpisobsahu"/>
      </w:pPr>
      <w:r>
        <w:br w:type="page"/>
      </w:r>
      <w:r w:rsidR="008D798F" w:rsidRPr="00326421">
        <w:lastRenderedPageBreak/>
        <w:t>Seznam použitých zkratek</w:t>
      </w:r>
    </w:p>
    <w:p w:rsidR="008D798F" w:rsidRPr="00193F7F" w:rsidRDefault="008D798F" w:rsidP="008D798F">
      <w:pPr>
        <w:rPr>
          <w:lang w:eastAsia="cs-CZ"/>
        </w:rPr>
      </w:pPr>
    </w:p>
    <w:p w:rsidR="008D798F" w:rsidRDefault="008D798F" w:rsidP="008D798F">
      <w:r>
        <w:t>B / C</w:t>
      </w:r>
      <w:r>
        <w:tab/>
      </w:r>
      <w:r>
        <w:tab/>
        <w:t>benefit / cost (přínosy / náklady)</w:t>
      </w:r>
    </w:p>
    <w:p w:rsidR="008D798F" w:rsidRDefault="008D798F" w:rsidP="008D798F">
      <w:r>
        <w:t>BP</w:t>
      </w:r>
      <w:r>
        <w:tab/>
      </w:r>
      <w:r>
        <w:tab/>
        <w:t>varianta bez projektu</w:t>
      </w:r>
    </w:p>
    <w:p w:rsidR="008D798F" w:rsidRDefault="008D798F" w:rsidP="008D798F">
      <w:r>
        <w:t>CIN</w:t>
      </w:r>
      <w:r>
        <w:tab/>
      </w:r>
      <w:r>
        <w:tab/>
        <w:t>celkové investiční náklady</w:t>
      </w:r>
    </w:p>
    <w:p w:rsidR="008D798F" w:rsidRDefault="008D798F" w:rsidP="008D798F">
      <w:r>
        <w:t xml:space="preserve">ČD a.s. … </w:t>
      </w:r>
      <w:r>
        <w:tab/>
        <w:t>České dráhy, akciová společnost</w:t>
      </w:r>
    </w:p>
    <w:p w:rsidR="008D798F" w:rsidRDefault="008D798F" w:rsidP="008D798F">
      <w:r>
        <w:t>CDP</w:t>
      </w:r>
      <w:r>
        <w:tab/>
      </w:r>
      <w:r>
        <w:tab/>
        <w:t>Centrální dispečink provozu</w:t>
      </w:r>
    </w:p>
    <w:p w:rsidR="008D798F" w:rsidRDefault="008D798F" w:rsidP="008D798F">
      <w:r>
        <w:t xml:space="preserve">CF … </w:t>
      </w:r>
      <w:r>
        <w:tab/>
      </w:r>
      <w:r>
        <w:tab/>
        <w:t>cash flow</w:t>
      </w:r>
    </w:p>
    <w:p w:rsidR="008D798F" w:rsidRDefault="008D798F" w:rsidP="008D798F">
      <w:r>
        <w:t>CÚ</w:t>
      </w:r>
      <w:r>
        <w:tab/>
      </w:r>
      <w:r>
        <w:tab/>
        <w:t>cenová úroveň</w:t>
      </w:r>
    </w:p>
    <w:p w:rsidR="008D798F" w:rsidRDefault="008D798F" w:rsidP="008D798F">
      <w:pPr>
        <w:rPr>
          <w:rFonts w:cs="Arial"/>
          <w:szCs w:val="24"/>
        </w:rPr>
      </w:pPr>
      <w:r w:rsidRPr="0042197F">
        <w:t>DC</w:t>
      </w:r>
      <w:r w:rsidRPr="00493ED5">
        <w:rPr>
          <w:rFonts w:cs="Arial"/>
          <w:szCs w:val="24"/>
        </w:rPr>
        <w:t xml:space="preserve"> </w:t>
      </w:r>
      <w:r>
        <w:rPr>
          <w:rFonts w:cs="Arial"/>
          <w:szCs w:val="24"/>
        </w:rPr>
        <w:tab/>
      </w:r>
      <w:r>
        <w:rPr>
          <w:rFonts w:cs="Arial"/>
          <w:szCs w:val="24"/>
        </w:rPr>
        <w:tab/>
        <w:t>dopravní cesta</w:t>
      </w:r>
    </w:p>
    <w:p w:rsidR="008D798F" w:rsidRDefault="008D798F" w:rsidP="008D798F">
      <w:r w:rsidRPr="003012A9">
        <w:rPr>
          <w:lang w:eastAsia="cs-CZ"/>
        </w:rPr>
        <w:t>DOZ</w:t>
      </w:r>
      <w:r w:rsidRPr="001B5AF5">
        <w:t xml:space="preserve"> </w:t>
      </w:r>
      <w:r>
        <w:tab/>
      </w:r>
      <w:r>
        <w:tab/>
      </w:r>
      <w:r w:rsidRPr="00E5381F">
        <w:rPr>
          <w:rFonts w:cs="Tahoma"/>
        </w:rPr>
        <w:t>dálkové ovládání zabezpečovacího zařízení</w:t>
      </w:r>
    </w:p>
    <w:p w:rsidR="008D798F" w:rsidRDefault="0003194B" w:rsidP="008D798F">
      <w:r>
        <w:t>EK</w:t>
      </w:r>
      <w:r>
        <w:tab/>
      </w:r>
      <w:r>
        <w:tab/>
        <w:t>Evropská k</w:t>
      </w:r>
      <w:r w:rsidR="008D798F">
        <w:t>omise</w:t>
      </w:r>
    </w:p>
    <w:p w:rsidR="008D798F" w:rsidRDefault="008D798F" w:rsidP="008D798F">
      <w:r>
        <w:t xml:space="preserve">ENPV … </w:t>
      </w:r>
      <w:r>
        <w:tab/>
        <w:t>ekonomická čistá současná hodnota</w:t>
      </w:r>
    </w:p>
    <w:p w:rsidR="008D798F" w:rsidRDefault="008D798F" w:rsidP="008D798F">
      <w:r w:rsidRPr="00AD4AE9">
        <w:rPr>
          <w:lang w:eastAsia="cs-CZ"/>
        </w:rPr>
        <w:t>EOV</w:t>
      </w:r>
      <w:r>
        <w:t xml:space="preserve"> </w:t>
      </w:r>
      <w:r>
        <w:tab/>
      </w:r>
      <w:r>
        <w:tab/>
      </w:r>
      <w:r>
        <w:rPr>
          <w:lang w:eastAsia="cs-CZ"/>
        </w:rPr>
        <w:t>e</w:t>
      </w:r>
      <w:r w:rsidRPr="00AD4AE9">
        <w:rPr>
          <w:lang w:eastAsia="cs-CZ"/>
        </w:rPr>
        <w:t>lektrick</w:t>
      </w:r>
      <w:r>
        <w:rPr>
          <w:lang w:eastAsia="cs-CZ"/>
        </w:rPr>
        <w:t>ý</w:t>
      </w:r>
      <w:r w:rsidRPr="00AD4AE9">
        <w:rPr>
          <w:lang w:eastAsia="cs-CZ"/>
        </w:rPr>
        <w:t xml:space="preserve"> ohřev</w:t>
      </w:r>
      <w:r>
        <w:rPr>
          <w:lang w:eastAsia="cs-CZ"/>
        </w:rPr>
        <w:t xml:space="preserve"> </w:t>
      </w:r>
      <w:r w:rsidRPr="00AD4AE9">
        <w:rPr>
          <w:lang w:eastAsia="cs-CZ"/>
        </w:rPr>
        <w:t>výhybek</w:t>
      </w:r>
    </w:p>
    <w:p w:rsidR="008D798F" w:rsidRDefault="008D798F" w:rsidP="008D798F">
      <w:r>
        <w:t xml:space="preserve">EPS </w:t>
      </w:r>
      <w:r>
        <w:tab/>
        <w:t xml:space="preserve"> </w:t>
      </w:r>
      <w:r>
        <w:tab/>
        <w:t>elektronická požární signalizace</w:t>
      </w:r>
    </w:p>
    <w:p w:rsidR="008D798F" w:rsidRDefault="008D798F" w:rsidP="008D798F">
      <w:r>
        <w:t>ERR</w:t>
      </w:r>
      <w:r>
        <w:tab/>
      </w:r>
      <w:r>
        <w:tab/>
      </w:r>
      <w:r w:rsidR="00DC205F" w:rsidRPr="00DC205F">
        <w:t>Ekonomické vnitřní výnosové procento („economic internal rate of return“)</w:t>
      </w:r>
    </w:p>
    <w:p w:rsidR="008D798F" w:rsidRDefault="008D798F" w:rsidP="008D798F">
      <w:r>
        <w:t>Ex</w:t>
      </w:r>
      <w:r>
        <w:tab/>
      </w:r>
      <w:r>
        <w:tab/>
        <w:t>Expresní vlak</w:t>
      </w:r>
    </w:p>
    <w:p w:rsidR="008D798F" w:rsidRDefault="008D798F" w:rsidP="008D798F">
      <w:r w:rsidRPr="00F26A4B">
        <w:t>EZS</w:t>
      </w:r>
      <w:r>
        <w:t xml:space="preserve">  </w:t>
      </w:r>
      <w:r>
        <w:tab/>
      </w:r>
      <w:r>
        <w:tab/>
        <w:t>elektronický zabezpečovací systém</w:t>
      </w:r>
    </w:p>
    <w:p w:rsidR="008D798F" w:rsidRDefault="008D798F" w:rsidP="008D798F">
      <w:r>
        <w:t xml:space="preserve">FNPV  </w:t>
      </w:r>
      <w:r>
        <w:tab/>
      </w:r>
      <w:r>
        <w:tab/>
        <w:t>finanční čistá současná hodnota</w:t>
      </w:r>
    </w:p>
    <w:p w:rsidR="008D798F" w:rsidRDefault="008D798F" w:rsidP="008D798F">
      <w:r>
        <w:t xml:space="preserve">FRR </w:t>
      </w:r>
      <w:r>
        <w:tab/>
      </w:r>
      <w:r>
        <w:tab/>
      </w:r>
      <w:r w:rsidR="00DC205F">
        <w:rPr>
          <w:rFonts w:ascii="Calibri" w:hAnsi="Calibri" w:cs="Calibri"/>
        </w:rPr>
        <w:t>Finanční vnitřní výnosové procento („financial internal rate of return“)</w:t>
      </w:r>
    </w:p>
    <w:p w:rsidR="008D798F" w:rsidRDefault="008D798F" w:rsidP="008D798F">
      <w:pPr>
        <w:rPr>
          <w:lang w:eastAsia="cs-CZ"/>
        </w:rPr>
      </w:pPr>
      <w:r>
        <w:rPr>
          <w:lang w:eastAsia="cs-CZ"/>
        </w:rPr>
        <w:t>HDP</w:t>
      </w:r>
      <w:r>
        <w:rPr>
          <w:lang w:eastAsia="cs-CZ"/>
        </w:rPr>
        <w:tab/>
      </w:r>
      <w:r>
        <w:rPr>
          <w:lang w:eastAsia="cs-CZ"/>
        </w:rPr>
        <w:tab/>
        <w:t>hrubý domácí produkt</w:t>
      </w:r>
    </w:p>
    <w:p w:rsidR="008D798F" w:rsidRDefault="008D798F" w:rsidP="008D798F">
      <w:pPr>
        <w:rPr>
          <w:lang w:eastAsia="cs-CZ"/>
        </w:rPr>
      </w:pPr>
      <w:r>
        <w:rPr>
          <w:lang w:eastAsia="cs-CZ"/>
        </w:rPr>
        <w:t>IAD</w:t>
      </w:r>
      <w:r>
        <w:rPr>
          <w:lang w:eastAsia="cs-CZ"/>
        </w:rPr>
        <w:tab/>
      </w:r>
      <w:r>
        <w:rPr>
          <w:lang w:eastAsia="cs-CZ"/>
        </w:rPr>
        <w:tab/>
        <w:t>individuální automobilová doprava</w:t>
      </w:r>
    </w:p>
    <w:p w:rsidR="008D798F" w:rsidRDefault="008D798F" w:rsidP="008D798F">
      <w:pPr>
        <w:rPr>
          <w:lang w:eastAsia="cs-CZ"/>
        </w:rPr>
      </w:pPr>
      <w:r w:rsidRPr="003012A9">
        <w:rPr>
          <w:lang w:eastAsia="cs-CZ"/>
        </w:rPr>
        <w:t xml:space="preserve">JOP </w:t>
      </w:r>
      <w:r>
        <w:rPr>
          <w:lang w:eastAsia="cs-CZ"/>
        </w:rPr>
        <w:tab/>
      </w:r>
      <w:r>
        <w:rPr>
          <w:lang w:eastAsia="cs-CZ"/>
        </w:rPr>
        <w:tab/>
        <w:t>jednotné obslužné pracoviště</w:t>
      </w:r>
    </w:p>
    <w:p w:rsidR="00DC205F" w:rsidRDefault="00DC205F" w:rsidP="008D798F">
      <w:pPr>
        <w:rPr>
          <w:rFonts w:cs="Arial"/>
        </w:rPr>
      </w:pPr>
      <w:r>
        <w:rPr>
          <w:rFonts w:cs="Arial"/>
        </w:rPr>
        <w:t>IRR</w:t>
      </w:r>
      <w:r>
        <w:rPr>
          <w:rFonts w:cs="Arial"/>
        </w:rPr>
        <w:tab/>
      </w:r>
      <w:r>
        <w:rPr>
          <w:rFonts w:cs="Arial"/>
        </w:rPr>
        <w:tab/>
      </w:r>
      <w:r>
        <w:rPr>
          <w:rFonts w:ascii="Calibri" w:hAnsi="Calibri" w:cs="Calibri"/>
        </w:rPr>
        <w:t>Vn</w:t>
      </w:r>
      <w:r>
        <w:rPr>
          <w:rFonts w:ascii="Calibri" w:hAnsi="Calibri" w:cs="Calibri"/>
        </w:rPr>
        <w:t>itřní výnosové procento („internal rate of return“)</w:t>
      </w:r>
    </w:p>
    <w:p w:rsidR="008D798F" w:rsidRDefault="008D798F" w:rsidP="008D798F">
      <w:r w:rsidRPr="00493ED5">
        <w:rPr>
          <w:rFonts w:cs="Arial"/>
        </w:rPr>
        <w:t>KJŘ</w:t>
      </w:r>
      <w:r>
        <w:t xml:space="preserve"> </w:t>
      </w:r>
      <w:r>
        <w:tab/>
      </w:r>
      <w:r>
        <w:tab/>
        <w:t>knižní jízdní řád</w:t>
      </w:r>
    </w:p>
    <w:p w:rsidR="008D798F" w:rsidRDefault="008D798F" w:rsidP="008D798F">
      <w:r>
        <w:t>MHD</w:t>
      </w:r>
      <w:r>
        <w:tab/>
      </w:r>
      <w:r>
        <w:tab/>
        <w:t>městská hromadná doprava</w:t>
      </w:r>
    </w:p>
    <w:p w:rsidR="008D798F" w:rsidRDefault="008D798F" w:rsidP="008D798F">
      <w:r>
        <w:t>Mn</w:t>
      </w:r>
      <w:r>
        <w:tab/>
      </w:r>
      <w:r>
        <w:tab/>
        <w:t>manipulační vlak</w:t>
      </w:r>
    </w:p>
    <w:p w:rsidR="008D798F" w:rsidRDefault="008D798F" w:rsidP="008D798F">
      <w:r>
        <w:t xml:space="preserve">MD </w:t>
      </w:r>
      <w:r>
        <w:tab/>
      </w:r>
      <w:r>
        <w:tab/>
        <w:t>Ministerstvo dopravy ČR</w:t>
      </w:r>
    </w:p>
    <w:p w:rsidR="008D798F" w:rsidRDefault="008D798F" w:rsidP="008D798F">
      <w:r w:rsidRPr="00AD4AE9">
        <w:rPr>
          <w:lang w:eastAsia="cs-CZ"/>
        </w:rPr>
        <w:t>NN</w:t>
      </w:r>
      <w:r>
        <w:t xml:space="preserve"> </w:t>
      </w:r>
      <w:r>
        <w:tab/>
      </w:r>
      <w:r>
        <w:tab/>
        <w:t>nízké napětí</w:t>
      </w:r>
    </w:p>
    <w:p w:rsidR="008D798F" w:rsidRDefault="008D798F" w:rsidP="008D798F">
      <w:r>
        <w:t xml:space="preserve">OŘ  </w:t>
      </w:r>
      <w:r>
        <w:tab/>
      </w:r>
      <w:r>
        <w:tab/>
        <w:t>oblastní ředitelství</w:t>
      </w:r>
    </w:p>
    <w:p w:rsidR="008D798F" w:rsidRDefault="008D798F" w:rsidP="008D798F">
      <w:pPr>
        <w:rPr>
          <w:rFonts w:cs="Arial"/>
        </w:rPr>
      </w:pPr>
      <w:r>
        <w:rPr>
          <w:rFonts w:cs="Arial"/>
        </w:rPr>
        <w:t>Os</w:t>
      </w:r>
      <w:r>
        <w:rPr>
          <w:rFonts w:cs="Arial"/>
        </w:rPr>
        <w:tab/>
      </w:r>
      <w:r>
        <w:rPr>
          <w:rFonts w:cs="Arial"/>
        </w:rPr>
        <w:tab/>
        <w:t>osobní vlak</w:t>
      </w:r>
    </w:p>
    <w:p w:rsidR="008D798F" w:rsidRDefault="008D798F" w:rsidP="008D798F">
      <w:pPr>
        <w:rPr>
          <w:rFonts w:cs="Arial"/>
        </w:rPr>
      </w:pPr>
      <w:r>
        <w:rPr>
          <w:rFonts w:cs="Arial"/>
        </w:rPr>
        <w:t>Osobohod</w:t>
      </w:r>
      <w:r w:rsidRPr="008D798F">
        <w:rPr>
          <w:rFonts w:cs="Arial"/>
        </w:rPr>
        <w:t xml:space="preserve"> </w:t>
      </w:r>
      <w:r>
        <w:rPr>
          <w:rFonts w:cs="Arial"/>
        </w:rPr>
        <w:tab/>
        <w:t>osobová hodina</w:t>
      </w:r>
    </w:p>
    <w:p w:rsidR="008D798F" w:rsidRDefault="008D798F" w:rsidP="008D798F">
      <w:pPr>
        <w:rPr>
          <w:rFonts w:cs="Arial"/>
        </w:rPr>
      </w:pPr>
      <w:r>
        <w:rPr>
          <w:rFonts w:cs="Arial"/>
        </w:rPr>
        <w:t>Osobokm</w:t>
      </w:r>
      <w:r>
        <w:rPr>
          <w:rFonts w:cs="Arial"/>
        </w:rPr>
        <w:tab/>
        <w:t>osobový kilometr</w:t>
      </w:r>
    </w:p>
    <w:p w:rsidR="008D798F" w:rsidRDefault="008D798F" w:rsidP="008D798F">
      <w:r>
        <w:t>R</w:t>
      </w:r>
      <w:r>
        <w:tab/>
      </w:r>
      <w:r>
        <w:tab/>
        <w:t>rychlíkový vlak</w:t>
      </w:r>
    </w:p>
    <w:p w:rsidR="008D798F" w:rsidRDefault="008D798F" w:rsidP="008D798F">
      <w:r>
        <w:t>SP</w:t>
      </w:r>
      <w:r>
        <w:tab/>
      </w:r>
      <w:r>
        <w:tab/>
        <w:t>varianta s projektem</w:t>
      </w:r>
    </w:p>
    <w:p w:rsidR="008D798F" w:rsidRDefault="008D798F" w:rsidP="008D798F">
      <w:r>
        <w:t>Sp</w:t>
      </w:r>
      <w:r>
        <w:tab/>
      </w:r>
      <w:r>
        <w:tab/>
        <w:t>spěšný vlak</w:t>
      </w:r>
    </w:p>
    <w:p w:rsidR="008D798F" w:rsidRDefault="008D798F" w:rsidP="008D798F">
      <w:r>
        <w:t>Sps</w:t>
      </w:r>
      <w:r>
        <w:tab/>
      </w:r>
      <w:r>
        <w:tab/>
        <w:t>Spínací stanice</w:t>
      </w:r>
    </w:p>
    <w:p w:rsidR="008D798F" w:rsidRDefault="008D798F" w:rsidP="008D798F">
      <w:r>
        <w:t>S</w:t>
      </w:r>
      <w:r w:rsidRPr="00F3288F">
        <w:t xml:space="preserve">ZZ </w:t>
      </w:r>
      <w:r>
        <w:tab/>
      </w:r>
      <w:r>
        <w:tab/>
        <w:t>staniční zabezpečovací zařízení</w:t>
      </w:r>
    </w:p>
    <w:p w:rsidR="008D798F" w:rsidRDefault="008D798F" w:rsidP="008D798F">
      <w:r>
        <w:t xml:space="preserve">SŽ, s. o.  </w:t>
      </w:r>
      <w:r>
        <w:tab/>
        <w:t>Správa železnic, státní organizace</w:t>
      </w:r>
    </w:p>
    <w:p w:rsidR="008D798F" w:rsidRPr="00D72576" w:rsidRDefault="008D798F" w:rsidP="008D798F">
      <w:r w:rsidRPr="00D72576">
        <w:t xml:space="preserve">TEN-T </w:t>
      </w:r>
      <w:r w:rsidRPr="00D72576">
        <w:tab/>
      </w:r>
      <w:r w:rsidRPr="00D72576">
        <w:tab/>
      </w:r>
      <w:r w:rsidRPr="00D94D24">
        <w:t>Trans-European Transport Networks, Transevropská dopravní síť</w:t>
      </w:r>
    </w:p>
    <w:p w:rsidR="008D798F" w:rsidRDefault="008D798F" w:rsidP="008D798F">
      <w:r>
        <w:lastRenderedPageBreak/>
        <w:t>TM</w:t>
      </w:r>
      <w:r>
        <w:tab/>
      </w:r>
      <w:r>
        <w:tab/>
        <w:t>Trakční měnírna</w:t>
      </w:r>
    </w:p>
    <w:p w:rsidR="008D798F" w:rsidRDefault="008D798F" w:rsidP="008D798F">
      <w:r>
        <w:t xml:space="preserve">TSI  </w:t>
      </w:r>
      <w:r>
        <w:tab/>
      </w:r>
      <w:r>
        <w:tab/>
        <w:t xml:space="preserve">technická specifikace pro interoperabilitu </w:t>
      </w:r>
    </w:p>
    <w:p w:rsidR="008D798F" w:rsidRDefault="008D798F" w:rsidP="008D798F">
      <w:r>
        <w:t xml:space="preserve">TV  </w:t>
      </w:r>
      <w:r>
        <w:tab/>
      </w:r>
      <w:r>
        <w:tab/>
        <w:t>trakční vedení</w:t>
      </w:r>
    </w:p>
    <w:p w:rsidR="008D798F" w:rsidRDefault="008D798F" w:rsidP="008D798F">
      <w:pPr>
        <w:rPr>
          <w:lang w:eastAsia="cs-CZ"/>
        </w:rPr>
      </w:pPr>
      <w:r>
        <w:rPr>
          <w:lang w:eastAsia="cs-CZ"/>
        </w:rPr>
        <w:t>Vozokm</w:t>
      </w:r>
      <w:r>
        <w:rPr>
          <w:lang w:eastAsia="cs-CZ"/>
        </w:rPr>
        <w:tab/>
        <w:t>vozový kilometr</w:t>
      </w:r>
    </w:p>
    <w:p w:rsidR="008D798F" w:rsidRDefault="008D798F" w:rsidP="008D798F">
      <w:pPr>
        <w:rPr>
          <w:lang w:eastAsia="cs-CZ"/>
        </w:rPr>
      </w:pPr>
      <w:r>
        <w:rPr>
          <w:lang w:eastAsia="cs-CZ"/>
        </w:rPr>
        <w:t>Vozohod</w:t>
      </w:r>
      <w:r>
        <w:rPr>
          <w:lang w:eastAsia="cs-CZ"/>
        </w:rPr>
        <w:tab/>
        <w:t>vozová hodina</w:t>
      </w:r>
    </w:p>
    <w:p w:rsidR="008D798F" w:rsidRDefault="008D798F" w:rsidP="008D798F">
      <w:pPr>
        <w:pStyle w:val="Nadpisobsahu"/>
      </w:pPr>
      <w:r w:rsidRPr="003012A9">
        <w:rPr>
          <w:lang w:eastAsia="cs-CZ"/>
        </w:rPr>
        <w:t xml:space="preserve">ŽST </w:t>
      </w:r>
      <w:r>
        <w:rPr>
          <w:lang w:eastAsia="cs-CZ"/>
        </w:rPr>
        <w:tab/>
      </w:r>
      <w:r>
        <w:rPr>
          <w:lang w:eastAsia="cs-CZ"/>
        </w:rPr>
        <w:tab/>
        <w:t>železniční stanice</w:t>
      </w:r>
      <w:r>
        <w:t xml:space="preserve"> </w:t>
      </w:r>
    </w:p>
    <w:p w:rsidR="00D14160" w:rsidRDefault="00D14160" w:rsidP="00D14160">
      <w:r>
        <w:br w:type="page"/>
      </w:r>
    </w:p>
    <w:p w:rsidR="00967D6F" w:rsidRDefault="00967D6F" w:rsidP="00967D6F">
      <w:pPr>
        <w:autoSpaceDE w:val="0"/>
        <w:autoSpaceDN w:val="0"/>
        <w:adjustRightInd w:val="0"/>
        <w:spacing w:after="0"/>
      </w:pPr>
    </w:p>
    <w:p w:rsidR="00967D6F" w:rsidRDefault="00967D6F" w:rsidP="00967D6F">
      <w:pPr>
        <w:pStyle w:val="Nadpis1"/>
      </w:pPr>
      <w:bookmarkStart w:id="0" w:name="_Toc24713936"/>
      <w:bookmarkStart w:id="1" w:name="_Toc40186565"/>
      <w:r>
        <w:t>Úvod</w:t>
      </w:r>
      <w:bookmarkEnd w:id="0"/>
      <w:bookmarkEnd w:id="1"/>
    </w:p>
    <w:p w:rsidR="00967D6F" w:rsidRDefault="003A0C8B" w:rsidP="00967D6F">
      <w:r>
        <w:t xml:space="preserve">Předmětem </w:t>
      </w:r>
      <w:r w:rsidR="00967D6F">
        <w:t xml:space="preserve">záměru projektu je </w:t>
      </w:r>
      <w:r w:rsidR="00967D6F" w:rsidRPr="00967D6F">
        <w:t>Modernizace železničního uzlu Ostrava</w:t>
      </w:r>
      <w:r w:rsidR="00967D6F">
        <w:t xml:space="preserve">. </w:t>
      </w:r>
      <w:r>
        <w:t>V roce 2016 byla zpracována studie proveditelnosti řešící modernizaci tohoto uzlu „</w:t>
      </w:r>
      <w:r>
        <w:rPr>
          <w:rFonts w:ascii="Calibri" w:hAnsi="Calibri" w:cs="Calibri"/>
        </w:rPr>
        <w:t>Studie proveditelnosti železničního uzlu Ostrava 2015“</w:t>
      </w:r>
      <w:r w:rsidR="00967D6F">
        <w:t xml:space="preserve"> (SP) s cílem vypracovat návrhy řešení v několika variantách a dokumentovat ekonomickou efektivitu jednotlivých variant. </w:t>
      </w:r>
    </w:p>
    <w:p w:rsidR="00967D6F" w:rsidRDefault="00967D6F" w:rsidP="00967D6F">
      <w:r>
        <w:t>Ekonomické hodnocení bylo v rámci SP zpracováno v intencích „Prováděcích pokynů pro hodnocení efektivnosti investic projektů železniční infrastruktury“ (MD 2013). Aktualizace ekonomického hodnocení bude metodicky zpracována dle Rezortní metodiky pro hodnocení ekonomické efektivnosti projektů dopravních staveb (MD 2017) a bude zahrnovat aktualizace:</w:t>
      </w:r>
    </w:p>
    <w:p w:rsidR="00967D6F" w:rsidRPr="00F7770A" w:rsidRDefault="00967D6F" w:rsidP="00967D6F">
      <w:pPr>
        <w:pStyle w:val="Odstavecseseznamem"/>
        <w:numPr>
          <w:ilvl w:val="0"/>
          <w:numId w:val="2"/>
        </w:numPr>
        <w:spacing w:line="256" w:lineRule="auto"/>
      </w:pPr>
      <w:r w:rsidRPr="00F7770A">
        <w:t>investičních nákladů řešeného úseku</w:t>
      </w:r>
    </w:p>
    <w:p w:rsidR="00967D6F" w:rsidRPr="00F7770A" w:rsidRDefault="00967D6F" w:rsidP="00967D6F">
      <w:pPr>
        <w:pStyle w:val="Odstavecseseznamem"/>
        <w:numPr>
          <w:ilvl w:val="0"/>
          <w:numId w:val="2"/>
        </w:numPr>
        <w:spacing w:line="256" w:lineRule="auto"/>
      </w:pPr>
      <w:r w:rsidRPr="00F7770A">
        <w:t>dobu trvání realizace stavby</w:t>
      </w:r>
    </w:p>
    <w:p w:rsidR="00967D6F" w:rsidRPr="00F7770A" w:rsidRDefault="00967D6F" w:rsidP="00967D6F">
      <w:pPr>
        <w:pStyle w:val="Odstavecseseznamem"/>
        <w:numPr>
          <w:ilvl w:val="0"/>
          <w:numId w:val="2"/>
        </w:numPr>
        <w:spacing w:line="256" w:lineRule="auto"/>
      </w:pPr>
      <w:r w:rsidRPr="00F7770A">
        <w:t>makroekonomických dat</w:t>
      </w:r>
    </w:p>
    <w:p w:rsidR="00967D6F" w:rsidRPr="00F7770A" w:rsidRDefault="00967D6F" w:rsidP="00967D6F">
      <w:pPr>
        <w:pStyle w:val="Odstavecseseznamem"/>
        <w:numPr>
          <w:ilvl w:val="0"/>
          <w:numId w:val="2"/>
        </w:numPr>
        <w:spacing w:line="256" w:lineRule="auto"/>
      </w:pPr>
      <w:r w:rsidRPr="00F7770A">
        <w:t>způsobu výpočtu nákladů na provoz vlaků a externalit dopravy</w:t>
      </w:r>
    </w:p>
    <w:p w:rsidR="00967D6F" w:rsidRPr="00F7770A" w:rsidRDefault="00967D6F" w:rsidP="00967D6F">
      <w:pPr>
        <w:pStyle w:val="Odstavecseseznamem"/>
        <w:numPr>
          <w:ilvl w:val="0"/>
          <w:numId w:val="2"/>
        </w:numPr>
        <w:spacing w:line="256" w:lineRule="auto"/>
      </w:pPr>
      <w:r w:rsidRPr="00F7770A">
        <w:t>výpočtu zůstatkové hodnoty a</w:t>
      </w:r>
    </w:p>
    <w:p w:rsidR="00967D6F" w:rsidRPr="00F7770A" w:rsidRDefault="00967D6F" w:rsidP="00967D6F">
      <w:pPr>
        <w:pStyle w:val="Odstavecseseznamem"/>
        <w:numPr>
          <w:ilvl w:val="0"/>
          <w:numId w:val="2"/>
        </w:numPr>
        <w:spacing w:line="256" w:lineRule="auto"/>
      </w:pPr>
      <w:r w:rsidRPr="00F7770A">
        <w:t>délky referenčního období</w:t>
      </w:r>
    </w:p>
    <w:p w:rsidR="00B311D7" w:rsidRPr="00B311D7" w:rsidRDefault="00B311D7" w:rsidP="00B311D7">
      <w:pPr>
        <w:pStyle w:val="Nadpis2"/>
      </w:pPr>
      <w:bookmarkStart w:id="2" w:name="_Toc40186566"/>
      <w:r w:rsidRPr="00B311D7">
        <w:t>Stávající stav infrastruktury v uzlu Ostrava</w:t>
      </w:r>
      <w:bookmarkEnd w:id="2"/>
    </w:p>
    <w:p w:rsidR="00B311D7" w:rsidRPr="00795025" w:rsidRDefault="00B311D7" w:rsidP="00795025">
      <w:pPr>
        <w:pStyle w:val="Nadpis3"/>
      </w:pPr>
      <w:bookmarkStart w:id="3" w:name="_Toc40186567"/>
      <w:r w:rsidRPr="00795025">
        <w:t>Kolejové řešení, nástupiště</w:t>
      </w:r>
      <w:bookmarkEnd w:id="3"/>
    </w:p>
    <w:p w:rsidR="00B311D7" w:rsidRPr="00795025" w:rsidRDefault="00B311D7" w:rsidP="00795025">
      <w:pPr>
        <w:rPr>
          <w:b/>
        </w:rPr>
      </w:pPr>
      <w:r w:rsidRPr="00795025">
        <w:rPr>
          <w:b/>
        </w:rPr>
        <w:t>Problematická místa z pohledu kapacity</w:t>
      </w:r>
    </w:p>
    <w:p w:rsidR="00B311D7" w:rsidRPr="00795025" w:rsidRDefault="00B311D7" w:rsidP="00795025">
      <w:r w:rsidRPr="00795025">
        <w:t xml:space="preserve">Přes </w:t>
      </w:r>
      <w:r w:rsidR="00C61746" w:rsidRPr="00795025">
        <w:t>výhybku</w:t>
      </w:r>
      <w:r w:rsidRPr="00795025">
        <w:t xml:space="preserve"> </w:t>
      </w:r>
      <w:r w:rsidR="00C61746" w:rsidRPr="00795025">
        <w:t>č. 100</w:t>
      </w:r>
      <w:r w:rsidRPr="00795025">
        <w:t xml:space="preserve"> v Ostravě </w:t>
      </w:r>
      <w:r w:rsidR="000F38E0">
        <w:t>hl.n.</w:t>
      </w:r>
      <w:r w:rsidRPr="00795025">
        <w:t xml:space="preserve"> je vedena veškera </w:t>
      </w:r>
      <w:r w:rsidR="002C1621">
        <w:t>osobní</w:t>
      </w:r>
      <w:r w:rsidRPr="00795025">
        <w:t xml:space="preserve"> doprava směrem na Ostravu</w:t>
      </w:r>
      <w:r w:rsidR="00795025" w:rsidRPr="00795025">
        <w:t xml:space="preserve"> </w:t>
      </w:r>
      <w:r w:rsidRPr="00795025">
        <w:t xml:space="preserve">střed. V </w:t>
      </w:r>
      <w:r w:rsidR="00C61746" w:rsidRPr="00795025">
        <w:t>případě</w:t>
      </w:r>
      <w:r w:rsidRPr="00795025">
        <w:t xml:space="preserve"> </w:t>
      </w:r>
      <w:r w:rsidR="00C61746" w:rsidRPr="00795025">
        <w:t>údržby</w:t>
      </w:r>
      <w:r w:rsidRPr="00795025">
        <w:t xml:space="preserve"> nebo nehody na </w:t>
      </w:r>
      <w:r w:rsidR="00C61746" w:rsidRPr="00795025">
        <w:t>výhybce</w:t>
      </w:r>
      <w:r w:rsidRPr="00795025">
        <w:t xml:space="preserve"> je nutno směrem na Ostravu střed zastavit</w:t>
      </w:r>
      <w:r w:rsidR="00795025" w:rsidRPr="00795025">
        <w:t xml:space="preserve"> </w:t>
      </w:r>
      <w:r w:rsidR="002C1621">
        <w:t>osobní</w:t>
      </w:r>
      <w:r w:rsidRPr="00795025">
        <w:t xml:space="preserve"> dopravu nebo jezdit mimo </w:t>
      </w:r>
      <w:r w:rsidR="00C61746" w:rsidRPr="00795025">
        <w:t>Frýdlantská</w:t>
      </w:r>
      <w:r w:rsidRPr="00795025">
        <w:t xml:space="preserve"> </w:t>
      </w:r>
      <w:r w:rsidR="00C61746" w:rsidRPr="00795025">
        <w:t>nástupiště</w:t>
      </w:r>
      <w:r w:rsidRPr="00795025">
        <w:t>.</w:t>
      </w:r>
    </w:p>
    <w:p w:rsidR="00B311D7" w:rsidRPr="00795025" w:rsidRDefault="00B311D7" w:rsidP="00795025">
      <w:r w:rsidRPr="00795025">
        <w:t xml:space="preserve">Na </w:t>
      </w:r>
      <w:r w:rsidR="00C61746" w:rsidRPr="00795025">
        <w:t>zastávce</w:t>
      </w:r>
      <w:r w:rsidRPr="00795025">
        <w:t xml:space="preserve"> Ostrava </w:t>
      </w:r>
      <w:r w:rsidR="00C61746" w:rsidRPr="00795025">
        <w:t>Stodolní</w:t>
      </w:r>
      <w:r w:rsidRPr="00795025">
        <w:t xml:space="preserve">, </w:t>
      </w:r>
      <w:r w:rsidR="00C61746" w:rsidRPr="00795025">
        <w:t>která</w:t>
      </w:r>
      <w:r w:rsidRPr="00795025">
        <w:t xml:space="preserve"> </w:t>
      </w:r>
      <w:r w:rsidR="00C61746" w:rsidRPr="00795025">
        <w:t>má</w:t>
      </w:r>
      <w:r w:rsidRPr="00795025">
        <w:t xml:space="preserve"> 2 </w:t>
      </w:r>
      <w:r w:rsidR="00C61746" w:rsidRPr="00795025">
        <w:t>nástupní</w:t>
      </w:r>
      <w:r w:rsidRPr="00795025">
        <w:t xml:space="preserve"> hrany </w:t>
      </w:r>
      <w:r w:rsidR="00C61746" w:rsidRPr="00795025">
        <w:t>délky</w:t>
      </w:r>
      <w:r w:rsidRPr="00795025">
        <w:t xml:space="preserve"> 200m zastavuje několik vlaků</w:t>
      </w:r>
      <w:r w:rsidR="00795025" w:rsidRPr="00795025">
        <w:t xml:space="preserve"> </w:t>
      </w:r>
      <w:r w:rsidR="00C61746" w:rsidRPr="00795025">
        <w:t>týdně</w:t>
      </w:r>
      <w:r w:rsidRPr="00795025">
        <w:t xml:space="preserve"> (od čtvrtku do neděle i několik vlaků denně), jejichž </w:t>
      </w:r>
      <w:r w:rsidR="00C61746" w:rsidRPr="00795025">
        <w:t>délka</w:t>
      </w:r>
      <w:r w:rsidRPr="00795025">
        <w:t xml:space="preserve"> bez lokomotivy je 211 (8</w:t>
      </w:r>
      <w:r w:rsidR="00795025" w:rsidRPr="00795025">
        <w:t xml:space="preserve"> </w:t>
      </w:r>
      <w:r w:rsidRPr="00795025">
        <w:t xml:space="preserve">vozů), 237 (9vozů) nebo 264m (10 vozů). </w:t>
      </w:r>
      <w:r w:rsidR="00F7770A">
        <w:t>Výstup</w:t>
      </w:r>
      <w:r w:rsidRPr="00795025">
        <w:t xml:space="preserve"> a </w:t>
      </w:r>
      <w:r w:rsidR="00F7770A">
        <w:t>nástup</w:t>
      </w:r>
      <w:r w:rsidRPr="00795025">
        <w:t xml:space="preserve"> </w:t>
      </w:r>
      <w:r w:rsidR="00C61746" w:rsidRPr="00795025">
        <w:t>cestujících</w:t>
      </w:r>
      <w:r w:rsidRPr="00795025">
        <w:t xml:space="preserve"> se komplikuje a</w:t>
      </w:r>
      <w:r w:rsidR="00795025" w:rsidRPr="00795025">
        <w:t xml:space="preserve"> </w:t>
      </w:r>
      <w:r w:rsidR="00C61746" w:rsidRPr="00795025">
        <w:t>předpokládá</w:t>
      </w:r>
      <w:r w:rsidRPr="00795025">
        <w:t xml:space="preserve"> se </w:t>
      </w:r>
      <w:r w:rsidR="00C61746" w:rsidRPr="00795025">
        <w:t>postupné</w:t>
      </w:r>
      <w:r w:rsidRPr="00795025">
        <w:t xml:space="preserve"> </w:t>
      </w:r>
      <w:r w:rsidR="00C61746">
        <w:t>zhoršová</w:t>
      </w:r>
      <w:r w:rsidR="00C61746" w:rsidRPr="00795025">
        <w:t>ní</w:t>
      </w:r>
      <w:r w:rsidRPr="00795025">
        <w:t xml:space="preserve"> situace s ohledem na </w:t>
      </w:r>
      <w:r w:rsidR="00C61746" w:rsidRPr="00795025">
        <w:t>další</w:t>
      </w:r>
      <w:r w:rsidRPr="00795025">
        <w:t xml:space="preserve"> </w:t>
      </w:r>
      <w:r w:rsidR="00C61746" w:rsidRPr="00795025">
        <w:t>potenciál</w:t>
      </w:r>
      <w:r w:rsidRPr="00795025">
        <w:t xml:space="preserve"> růstu </w:t>
      </w:r>
      <w:r w:rsidR="00C61746" w:rsidRPr="00795025">
        <w:t>délky</w:t>
      </w:r>
      <w:r w:rsidRPr="00795025">
        <w:t xml:space="preserve"> vlaků.</w:t>
      </w:r>
    </w:p>
    <w:p w:rsidR="00B311D7" w:rsidRPr="00795025" w:rsidRDefault="00B311D7" w:rsidP="00795025">
      <w:pPr>
        <w:rPr>
          <w:b/>
        </w:rPr>
      </w:pPr>
      <w:r w:rsidRPr="00795025">
        <w:rPr>
          <w:b/>
        </w:rPr>
        <w:t>Problematická místa z pohledu dodržení základních parametrů TSI a dalších</w:t>
      </w:r>
      <w:r w:rsidR="00795025" w:rsidRPr="00795025">
        <w:rPr>
          <w:b/>
        </w:rPr>
        <w:t xml:space="preserve"> </w:t>
      </w:r>
      <w:r w:rsidRPr="00795025">
        <w:rPr>
          <w:b/>
        </w:rPr>
        <w:t>norem</w:t>
      </w:r>
    </w:p>
    <w:p w:rsidR="00B311D7" w:rsidRPr="00795025" w:rsidRDefault="00B311D7" w:rsidP="00795025">
      <w:r w:rsidRPr="00795025">
        <w:t xml:space="preserve">Všechna </w:t>
      </w:r>
      <w:r w:rsidR="00C61746" w:rsidRPr="00795025">
        <w:t>nástupiště</w:t>
      </w:r>
      <w:r w:rsidRPr="00795025">
        <w:t xml:space="preserve"> v žst. Ostrava </w:t>
      </w:r>
      <w:r w:rsidR="00F7770A">
        <w:t>hlavní</w:t>
      </w:r>
      <w:r w:rsidRPr="00795025">
        <w:t xml:space="preserve"> </w:t>
      </w:r>
      <w:r w:rsidR="00C61746" w:rsidRPr="00795025">
        <w:t>nemají</w:t>
      </w:r>
      <w:r w:rsidRPr="00795025">
        <w:t xml:space="preserve"> </w:t>
      </w:r>
      <w:r w:rsidR="00C61746" w:rsidRPr="00795025">
        <w:t>výšku</w:t>
      </w:r>
      <w:r w:rsidRPr="00795025">
        <w:t xml:space="preserve"> 550 mm nad T.K. </w:t>
      </w:r>
      <w:r w:rsidR="00C61746" w:rsidRPr="00795025">
        <w:t>Některá</w:t>
      </w:r>
      <w:r w:rsidRPr="00795025">
        <w:t xml:space="preserve"> </w:t>
      </w:r>
      <w:r w:rsidR="00C61746" w:rsidRPr="00795025">
        <w:t>nástupiště</w:t>
      </w:r>
      <w:r w:rsidR="00795025" w:rsidRPr="00795025">
        <w:t xml:space="preserve"> </w:t>
      </w:r>
      <w:r w:rsidR="00C61746" w:rsidRPr="00795025">
        <w:t>mají</w:t>
      </w:r>
      <w:r w:rsidRPr="00795025">
        <w:t xml:space="preserve"> </w:t>
      </w:r>
      <w:r w:rsidR="00C61746" w:rsidRPr="00795025">
        <w:t>rozdílnou</w:t>
      </w:r>
      <w:r w:rsidRPr="00795025">
        <w:t xml:space="preserve"> </w:t>
      </w:r>
      <w:r w:rsidR="00C61746" w:rsidRPr="00795025">
        <w:t>výšku</w:t>
      </w:r>
      <w:r w:rsidRPr="00795025">
        <w:t xml:space="preserve"> hrany v </w:t>
      </w:r>
      <w:r w:rsidR="00F7770A">
        <w:t>řádu</w:t>
      </w:r>
      <w:r w:rsidRPr="00795025">
        <w:t xml:space="preserve"> </w:t>
      </w:r>
      <w:r w:rsidR="00C61746" w:rsidRPr="00795025">
        <w:t>desítek</w:t>
      </w:r>
      <w:r w:rsidRPr="00795025">
        <w:t xml:space="preserve"> cm a </w:t>
      </w:r>
      <w:r w:rsidR="00F7770A">
        <w:t>zasahují</w:t>
      </w:r>
      <w:r w:rsidRPr="00795025">
        <w:t xml:space="preserve"> do </w:t>
      </w:r>
      <w:r w:rsidR="00C61746" w:rsidRPr="00795025">
        <w:t>průjezdného</w:t>
      </w:r>
      <w:r w:rsidRPr="00795025">
        <w:t xml:space="preserve"> průřezu.</w:t>
      </w:r>
      <w:r w:rsidR="00795025" w:rsidRPr="00795025">
        <w:t xml:space="preserve"> </w:t>
      </w:r>
      <w:r w:rsidR="00C61746" w:rsidRPr="00795025">
        <w:t>Výška</w:t>
      </w:r>
      <w:r w:rsidRPr="00795025">
        <w:t xml:space="preserve"> 550mm </w:t>
      </w:r>
      <w:r w:rsidR="00C61746" w:rsidRPr="00795025">
        <w:t>není</w:t>
      </w:r>
      <w:r w:rsidRPr="00795025">
        <w:t xml:space="preserve"> dosažena v žst. Ostrava Bartovice, Ostrava střed, Ostrava </w:t>
      </w:r>
      <w:r w:rsidR="00C61746" w:rsidRPr="00795025">
        <w:t>Vítkovice</w:t>
      </w:r>
      <w:r w:rsidRPr="00795025">
        <w:t>, Ostrava</w:t>
      </w:r>
      <w:r w:rsidR="00795025" w:rsidRPr="00795025">
        <w:t xml:space="preserve"> </w:t>
      </w:r>
      <w:r w:rsidRPr="00795025">
        <w:t>Kunčice.</w:t>
      </w:r>
    </w:p>
    <w:p w:rsidR="00B311D7" w:rsidRPr="00795025" w:rsidRDefault="00B311D7" w:rsidP="00795025">
      <w:r w:rsidRPr="00795025">
        <w:t xml:space="preserve">V </w:t>
      </w:r>
      <w:r w:rsidR="00C61746" w:rsidRPr="00795025">
        <w:t>matečných</w:t>
      </w:r>
      <w:r w:rsidRPr="00795025">
        <w:t xml:space="preserve"> </w:t>
      </w:r>
      <w:r w:rsidR="00C61746" w:rsidRPr="00795025">
        <w:t>kolejích</w:t>
      </w:r>
      <w:r w:rsidRPr="00795025">
        <w:t xml:space="preserve"> žst. Ostrava </w:t>
      </w:r>
      <w:r w:rsidR="00C61746" w:rsidRPr="00795025">
        <w:t>pravé</w:t>
      </w:r>
      <w:r w:rsidRPr="00795025">
        <w:t xml:space="preserve"> a Ostrava </w:t>
      </w:r>
      <w:r w:rsidR="00C61746" w:rsidRPr="00795025">
        <w:t>levé</w:t>
      </w:r>
      <w:r w:rsidRPr="00795025">
        <w:t xml:space="preserve"> nejsou ve všech </w:t>
      </w:r>
      <w:r w:rsidR="00C61746" w:rsidRPr="00795025">
        <w:t>případech</w:t>
      </w:r>
      <w:r w:rsidRPr="00795025">
        <w:t xml:space="preserve"> dodrženy</w:t>
      </w:r>
      <w:r w:rsidR="00795025" w:rsidRPr="00795025">
        <w:t xml:space="preserve"> </w:t>
      </w:r>
      <w:r w:rsidRPr="00795025">
        <w:t>mezipř</w:t>
      </w:r>
      <w:r w:rsidR="00F7770A">
        <w:t>í</w:t>
      </w:r>
      <w:r w:rsidRPr="00795025">
        <w:t>m</w:t>
      </w:r>
      <w:r w:rsidR="00F7770A">
        <w:t>é</w:t>
      </w:r>
      <w:r w:rsidRPr="00795025">
        <w:t xml:space="preserve"> pro rychlost 50 km/hod.</w:t>
      </w:r>
    </w:p>
    <w:p w:rsidR="00B311D7" w:rsidRPr="00795025" w:rsidRDefault="00B311D7" w:rsidP="00795025">
      <w:r w:rsidRPr="00795025">
        <w:t xml:space="preserve">V </w:t>
      </w:r>
      <w:r w:rsidR="00C61746" w:rsidRPr="00795025">
        <w:t>úseku</w:t>
      </w:r>
      <w:r w:rsidRPr="00795025">
        <w:t xml:space="preserve"> Ostrava Svinov – Ostrava Hrušov nejsou v mnoha </w:t>
      </w:r>
      <w:r w:rsidR="00C61746" w:rsidRPr="00795025">
        <w:t>případech</w:t>
      </w:r>
      <w:r w:rsidRPr="00795025">
        <w:t xml:space="preserve"> dodrženy </w:t>
      </w:r>
      <w:r w:rsidR="00C61746" w:rsidRPr="00795025">
        <w:t>vzdálenosti</w:t>
      </w:r>
      <w:r w:rsidRPr="00795025">
        <w:t xml:space="preserve"> osy</w:t>
      </w:r>
      <w:r w:rsidR="00795025" w:rsidRPr="00795025">
        <w:t xml:space="preserve"> </w:t>
      </w:r>
      <w:r w:rsidRPr="00795025">
        <w:t xml:space="preserve">koleje od </w:t>
      </w:r>
      <w:r w:rsidR="00C61746" w:rsidRPr="00795025">
        <w:t>návěstidel</w:t>
      </w:r>
      <w:r w:rsidRPr="00795025">
        <w:t xml:space="preserve"> nebo sloupů </w:t>
      </w:r>
      <w:r w:rsidR="00C61746" w:rsidRPr="00795025">
        <w:t>trakčního</w:t>
      </w:r>
      <w:r w:rsidRPr="00795025">
        <w:t xml:space="preserve"> </w:t>
      </w:r>
      <w:r w:rsidR="00C008CC">
        <w:t>vedení</w:t>
      </w:r>
    </w:p>
    <w:p w:rsidR="00B311D7" w:rsidRPr="00795025" w:rsidRDefault="00B311D7" w:rsidP="00795025">
      <w:pPr>
        <w:rPr>
          <w:b/>
        </w:rPr>
      </w:pPr>
      <w:r w:rsidRPr="00795025">
        <w:rPr>
          <w:b/>
        </w:rPr>
        <w:t>Problematická místa z pohledu bezpečnosti</w:t>
      </w:r>
    </w:p>
    <w:p w:rsidR="00B311D7" w:rsidRPr="00795025" w:rsidRDefault="00B311D7" w:rsidP="00795025">
      <w:r w:rsidRPr="00795025">
        <w:t xml:space="preserve">Všechna </w:t>
      </w:r>
      <w:r w:rsidR="00C61746" w:rsidRPr="00795025">
        <w:t>nástupiště</w:t>
      </w:r>
      <w:r w:rsidRPr="00795025">
        <w:t xml:space="preserve"> v žst. Ostrava </w:t>
      </w:r>
      <w:r w:rsidR="00F7770A">
        <w:t>hlavní</w:t>
      </w:r>
      <w:r w:rsidRPr="00795025">
        <w:t xml:space="preserve"> nejsou vybavena </w:t>
      </w:r>
      <w:r w:rsidR="00C61746" w:rsidRPr="00795025">
        <w:t>bezpečnostními</w:t>
      </w:r>
      <w:r w:rsidRPr="00795025">
        <w:t xml:space="preserve"> prvky a neumožňuj</w:t>
      </w:r>
      <w:r w:rsidR="00363D63">
        <w:t>í</w:t>
      </w:r>
      <w:r w:rsidR="00795025">
        <w:t xml:space="preserve"> </w:t>
      </w:r>
      <w:r w:rsidR="00C61746" w:rsidRPr="00795025">
        <w:t>bezbariérový</w:t>
      </w:r>
      <w:r w:rsidRPr="00795025">
        <w:t xml:space="preserve"> př</w:t>
      </w:r>
      <w:r w:rsidR="00363D63">
        <w:t>í</w:t>
      </w:r>
      <w:r w:rsidRPr="00795025">
        <w:t>stup.</w:t>
      </w:r>
    </w:p>
    <w:p w:rsidR="00B311D7" w:rsidRPr="00795025" w:rsidRDefault="00C61746" w:rsidP="00B311D7">
      <w:r w:rsidRPr="00795025">
        <w:t>Obdobná</w:t>
      </w:r>
      <w:r w:rsidR="00B311D7" w:rsidRPr="00795025">
        <w:t xml:space="preserve"> situace je v žst. Ostrava </w:t>
      </w:r>
      <w:r w:rsidRPr="00795025">
        <w:t>Vítkovice</w:t>
      </w:r>
      <w:r w:rsidR="00B311D7" w:rsidRPr="00795025">
        <w:t>, Ostrava střed, Ostrava Kunčice a Ostrava</w:t>
      </w:r>
      <w:r w:rsidR="00795025">
        <w:t xml:space="preserve"> </w:t>
      </w:r>
      <w:r w:rsidR="00B311D7" w:rsidRPr="00795025">
        <w:t>Bartovice. V Ostravě Bartovic</w:t>
      </w:r>
      <w:r w:rsidR="00363D63">
        <w:t>í</w:t>
      </w:r>
      <w:r w:rsidR="00B311D7" w:rsidRPr="00795025">
        <w:t xml:space="preserve">ch </w:t>
      </w:r>
      <w:r w:rsidRPr="00795025">
        <w:t>není</w:t>
      </w:r>
      <w:r w:rsidR="00B311D7" w:rsidRPr="00795025">
        <w:t xml:space="preserve"> </w:t>
      </w:r>
      <w:r w:rsidRPr="00795025">
        <w:t>možný</w:t>
      </w:r>
      <w:r w:rsidR="00B311D7" w:rsidRPr="00795025">
        <w:t xml:space="preserve"> </w:t>
      </w:r>
      <w:r w:rsidRPr="00795025">
        <w:t>příjezd</w:t>
      </w:r>
      <w:r w:rsidR="00B311D7" w:rsidRPr="00795025">
        <w:t xml:space="preserve"> </w:t>
      </w:r>
      <w:r w:rsidRPr="00795025">
        <w:t>záchranného</w:t>
      </w:r>
      <w:r w:rsidR="00B311D7" w:rsidRPr="00795025">
        <w:t xml:space="preserve"> </w:t>
      </w:r>
      <w:r w:rsidRPr="00795025">
        <w:t>integrovaného</w:t>
      </w:r>
      <w:r w:rsidR="00B311D7" w:rsidRPr="00795025">
        <w:t xml:space="preserve"> </w:t>
      </w:r>
      <w:r w:rsidRPr="00795025">
        <w:t>systému</w:t>
      </w:r>
      <w:r w:rsidR="00B311D7" w:rsidRPr="00795025">
        <w:t xml:space="preserve"> na</w:t>
      </w:r>
      <w:r w:rsidR="00795025">
        <w:t xml:space="preserve"> </w:t>
      </w:r>
      <w:r w:rsidRPr="00795025">
        <w:t>nástupiště</w:t>
      </w:r>
      <w:r w:rsidR="00B311D7" w:rsidRPr="00795025">
        <w:t>.</w:t>
      </w:r>
    </w:p>
    <w:p w:rsidR="00B311D7" w:rsidRPr="00795025" w:rsidRDefault="00B311D7" w:rsidP="00795025">
      <w:pPr>
        <w:pStyle w:val="Nadpis3"/>
      </w:pPr>
      <w:bookmarkStart w:id="4" w:name="_Toc40186568"/>
      <w:r w:rsidRPr="00795025">
        <w:t>Technický stav jednotlivých částí infrastruktury</w:t>
      </w:r>
      <w:bookmarkEnd w:id="4"/>
    </w:p>
    <w:p w:rsidR="00B311D7" w:rsidRPr="00795025" w:rsidRDefault="00B311D7" w:rsidP="00795025">
      <w:pPr>
        <w:rPr>
          <w:b/>
        </w:rPr>
      </w:pPr>
      <w:r w:rsidRPr="00795025">
        <w:rPr>
          <w:b/>
        </w:rPr>
        <w:t>Železniční svršek</w:t>
      </w:r>
    </w:p>
    <w:p w:rsidR="00B311D7" w:rsidRPr="00795025" w:rsidRDefault="00B311D7" w:rsidP="00363D63">
      <w:pPr>
        <w:ind w:left="360"/>
      </w:pPr>
      <w:r w:rsidRPr="00795025">
        <w:t xml:space="preserve">Rekonstrukce proběhly v </w:t>
      </w:r>
      <w:r w:rsidR="00C61746" w:rsidRPr="00795025">
        <w:t>úsecích</w:t>
      </w:r>
      <w:r w:rsidRPr="00795025">
        <w:t>:</w:t>
      </w:r>
    </w:p>
    <w:p w:rsidR="00B311D7" w:rsidRPr="00795025" w:rsidRDefault="00B311D7" w:rsidP="00D62572">
      <w:pPr>
        <w:pStyle w:val="Odstavecseseznamem"/>
        <w:numPr>
          <w:ilvl w:val="0"/>
          <w:numId w:val="34"/>
        </w:numPr>
      </w:pPr>
      <w:r w:rsidRPr="00795025">
        <w:t xml:space="preserve">Žst. Ostrava Kunčice (pouze </w:t>
      </w:r>
      <w:r w:rsidR="00C61746" w:rsidRPr="00795025">
        <w:t>výhybky</w:t>
      </w:r>
      <w:r w:rsidRPr="00795025">
        <w:t>), rok 1999</w:t>
      </w:r>
    </w:p>
    <w:p w:rsidR="00B311D7" w:rsidRPr="00795025" w:rsidRDefault="00B311D7" w:rsidP="00D62572">
      <w:pPr>
        <w:pStyle w:val="Odstavecseseznamem"/>
        <w:numPr>
          <w:ilvl w:val="0"/>
          <w:numId w:val="34"/>
        </w:numPr>
      </w:pPr>
      <w:r w:rsidRPr="00795025">
        <w:t xml:space="preserve">Polanka nad Odrou – Ostrava Svinov (pouze </w:t>
      </w:r>
      <w:r w:rsidR="00F7770A">
        <w:t>hlavní</w:t>
      </w:r>
      <w:r w:rsidRPr="00795025">
        <w:t xml:space="preserve"> koleje s </w:t>
      </w:r>
      <w:r w:rsidR="00C61746" w:rsidRPr="00795025">
        <w:t>výhybkami</w:t>
      </w:r>
      <w:r w:rsidRPr="00795025">
        <w:t>), rok 2002</w:t>
      </w:r>
    </w:p>
    <w:p w:rsidR="00B311D7" w:rsidRPr="00795025" w:rsidRDefault="00B311D7" w:rsidP="00D62572">
      <w:pPr>
        <w:pStyle w:val="Odstavecseseznamem"/>
        <w:numPr>
          <w:ilvl w:val="0"/>
          <w:numId w:val="34"/>
        </w:numPr>
      </w:pPr>
      <w:r w:rsidRPr="00795025">
        <w:lastRenderedPageBreak/>
        <w:t xml:space="preserve">Ostrava </w:t>
      </w:r>
      <w:r w:rsidR="00C61746" w:rsidRPr="00795025">
        <w:t>Stodolní</w:t>
      </w:r>
      <w:r w:rsidRPr="00795025">
        <w:t xml:space="preserve"> – Ostrava Kunčice (mimo), rok 2007</w:t>
      </w:r>
    </w:p>
    <w:p w:rsidR="00B311D7" w:rsidRPr="00795025" w:rsidRDefault="00B311D7" w:rsidP="00D62572">
      <w:pPr>
        <w:pStyle w:val="Odstavecseseznamem"/>
        <w:numPr>
          <w:ilvl w:val="0"/>
          <w:numId w:val="34"/>
        </w:numPr>
      </w:pPr>
      <w:r w:rsidRPr="00795025">
        <w:t>Ostrava Svinov – Ostrava Třebovice, rok 2006</w:t>
      </w:r>
    </w:p>
    <w:p w:rsidR="00B311D7" w:rsidRPr="00795025" w:rsidRDefault="00B311D7" w:rsidP="00795025">
      <w:r w:rsidRPr="00795025">
        <w:t xml:space="preserve">V </w:t>
      </w:r>
      <w:r w:rsidR="00532A03" w:rsidRPr="00795025">
        <w:t>ostatních</w:t>
      </w:r>
      <w:r w:rsidRPr="00795025">
        <w:t xml:space="preserve"> </w:t>
      </w:r>
      <w:r w:rsidR="00C61746" w:rsidRPr="00795025">
        <w:t>úsecích</w:t>
      </w:r>
      <w:r w:rsidRPr="00795025">
        <w:t xml:space="preserve"> </w:t>
      </w:r>
      <w:r w:rsidR="00532A03" w:rsidRPr="00795025">
        <w:t>železničního</w:t>
      </w:r>
      <w:r w:rsidRPr="00795025">
        <w:t xml:space="preserve"> uzlu (90% koleji) je </w:t>
      </w:r>
      <w:r w:rsidR="00532A03" w:rsidRPr="00795025">
        <w:t>převážně</w:t>
      </w:r>
      <w:r w:rsidRPr="00795025">
        <w:t xml:space="preserve"> </w:t>
      </w:r>
      <w:r w:rsidR="00532A03" w:rsidRPr="00795025">
        <w:t>materiál</w:t>
      </w:r>
      <w:r w:rsidRPr="00795025">
        <w:t xml:space="preserve"> ze </w:t>
      </w:r>
      <w:r w:rsidR="00532A03" w:rsidRPr="00795025">
        <w:t>sedmdesátých</w:t>
      </w:r>
      <w:r w:rsidRPr="00795025">
        <w:t xml:space="preserve"> a</w:t>
      </w:r>
      <w:r w:rsidR="00795025">
        <w:t xml:space="preserve"> </w:t>
      </w:r>
      <w:r w:rsidR="00532A03" w:rsidRPr="00795025">
        <w:t>osmdesátých</w:t>
      </w:r>
      <w:r w:rsidRPr="00795025">
        <w:t xml:space="preserve"> let, </w:t>
      </w:r>
      <w:r w:rsidR="00532A03" w:rsidRPr="00795025">
        <w:t>který</w:t>
      </w:r>
      <w:r w:rsidRPr="00795025">
        <w:t xml:space="preserve"> už </w:t>
      </w:r>
      <w:r w:rsidR="00532A03" w:rsidRPr="00795025">
        <w:t>zejména</w:t>
      </w:r>
      <w:r w:rsidRPr="00795025">
        <w:t xml:space="preserve"> v silně </w:t>
      </w:r>
      <w:r w:rsidR="00532A03" w:rsidRPr="00795025">
        <w:t>zatížených</w:t>
      </w:r>
      <w:r w:rsidRPr="00795025">
        <w:t xml:space="preserve"> </w:t>
      </w:r>
      <w:r w:rsidR="00532A03" w:rsidRPr="00795025">
        <w:t>výhybkách</w:t>
      </w:r>
      <w:r w:rsidRPr="00795025">
        <w:t xml:space="preserve"> nebude </w:t>
      </w:r>
      <w:r w:rsidR="00532A03" w:rsidRPr="00795025">
        <w:t>smysluplné</w:t>
      </w:r>
      <w:r w:rsidRPr="00795025">
        <w:t xml:space="preserve"> udržovat,</w:t>
      </w:r>
      <w:r w:rsidR="00795025">
        <w:t xml:space="preserve"> </w:t>
      </w:r>
      <w:r w:rsidRPr="00795025">
        <w:t xml:space="preserve">ale je </w:t>
      </w:r>
      <w:r w:rsidR="00532A03" w:rsidRPr="00795025">
        <w:t>nutný</w:t>
      </w:r>
      <w:r w:rsidRPr="00795025">
        <w:t xml:space="preserve"> </w:t>
      </w:r>
      <w:r w:rsidR="00532A03" w:rsidRPr="00795025">
        <w:t>investiční</w:t>
      </w:r>
      <w:r w:rsidRPr="00795025">
        <w:t xml:space="preserve"> </w:t>
      </w:r>
      <w:r w:rsidR="00532A03" w:rsidRPr="00795025">
        <w:t>zásah</w:t>
      </w:r>
      <w:r w:rsidRPr="00795025">
        <w:t xml:space="preserve"> s </w:t>
      </w:r>
      <w:r w:rsidR="00532A03" w:rsidRPr="00795025">
        <w:t>odstraněním</w:t>
      </w:r>
      <w:r w:rsidRPr="00795025">
        <w:t xml:space="preserve"> </w:t>
      </w:r>
      <w:r w:rsidR="00532A03" w:rsidRPr="00795025">
        <w:t>nedostatečných</w:t>
      </w:r>
      <w:r w:rsidRPr="00795025">
        <w:t xml:space="preserve"> mezipř</w:t>
      </w:r>
      <w:r w:rsidR="00363D63">
        <w:t>í</w:t>
      </w:r>
      <w:r w:rsidRPr="00795025">
        <w:t>m</w:t>
      </w:r>
      <w:r w:rsidR="00363D63">
        <w:t>ý</w:t>
      </w:r>
      <w:r w:rsidRPr="00795025">
        <w:t xml:space="preserve">ch. </w:t>
      </w:r>
      <w:r w:rsidR="00532A03" w:rsidRPr="00795025">
        <w:t>Traťové</w:t>
      </w:r>
      <w:r w:rsidRPr="00795025">
        <w:t xml:space="preserve"> rychlosti jsou</w:t>
      </w:r>
      <w:r w:rsidR="00795025">
        <w:t xml:space="preserve"> </w:t>
      </w:r>
      <w:r w:rsidRPr="00795025">
        <w:t xml:space="preserve">historicky i v </w:t>
      </w:r>
      <w:r w:rsidR="00532A03" w:rsidRPr="00795025">
        <w:t>příznivých</w:t>
      </w:r>
      <w:r w:rsidRPr="00795025">
        <w:t xml:space="preserve"> </w:t>
      </w:r>
      <w:r w:rsidR="00C61746" w:rsidRPr="00795025">
        <w:t>úsecích</w:t>
      </w:r>
      <w:r w:rsidRPr="00795025">
        <w:t xml:space="preserve">, </w:t>
      </w:r>
      <w:r w:rsidR="00532A03" w:rsidRPr="00795025">
        <w:t>které</w:t>
      </w:r>
      <w:r w:rsidRPr="00795025">
        <w:t xml:space="preserve"> nebyly </w:t>
      </w:r>
      <w:r w:rsidR="00532A03" w:rsidRPr="00795025">
        <w:t>rekonstruovány</w:t>
      </w:r>
      <w:r w:rsidRPr="00795025">
        <w:t xml:space="preserve"> v </w:t>
      </w:r>
      <w:r w:rsidR="00532A03" w:rsidRPr="00795025">
        <w:t>uplynulých</w:t>
      </w:r>
      <w:r w:rsidRPr="00795025">
        <w:t xml:space="preserve"> </w:t>
      </w:r>
      <w:r w:rsidR="00363D63" w:rsidRPr="00795025">
        <w:t>20</w:t>
      </w:r>
      <w:r w:rsidRPr="00795025">
        <w:t xml:space="preserve"> letech na </w:t>
      </w:r>
      <w:r w:rsidR="00532A03" w:rsidRPr="00795025">
        <w:t>úrovni</w:t>
      </w:r>
      <w:r w:rsidR="00795025">
        <w:t xml:space="preserve"> </w:t>
      </w:r>
      <w:r w:rsidRPr="00795025">
        <w:t xml:space="preserve">60 km/hod nebo 80 km/hod. Všechny koleje, kromě </w:t>
      </w:r>
      <w:r w:rsidR="00532A03" w:rsidRPr="00795025">
        <w:t>rekonstruovaných</w:t>
      </w:r>
      <w:r w:rsidRPr="00795025">
        <w:t xml:space="preserve"> jsou tak </w:t>
      </w:r>
      <w:r w:rsidR="00532A03" w:rsidRPr="00795025">
        <w:t>udržovány</w:t>
      </w:r>
      <w:r w:rsidRPr="00795025">
        <w:t xml:space="preserve"> pro</w:t>
      </w:r>
      <w:r w:rsidR="00795025">
        <w:t xml:space="preserve"> </w:t>
      </w:r>
      <w:r w:rsidRPr="00795025">
        <w:t xml:space="preserve">RP0 a RP1. </w:t>
      </w:r>
      <w:r w:rsidR="00532A03" w:rsidRPr="00795025">
        <w:t>Jakékoliv</w:t>
      </w:r>
      <w:r w:rsidRPr="00795025">
        <w:t xml:space="preserve"> </w:t>
      </w:r>
      <w:r w:rsidR="00532A03" w:rsidRPr="00795025">
        <w:t>zvýšeni</w:t>
      </w:r>
      <w:r w:rsidRPr="00795025">
        <w:t xml:space="preserve"> nad 80 km/hod (což je polovina rychlosti, </w:t>
      </w:r>
      <w:r w:rsidR="00C61746" w:rsidRPr="00795025">
        <w:t>která</w:t>
      </w:r>
      <w:r w:rsidRPr="00795025">
        <w:t xml:space="preserve"> by měla byt</w:t>
      </w:r>
      <w:r w:rsidR="00795025">
        <w:t xml:space="preserve"> </w:t>
      </w:r>
      <w:r w:rsidR="002E2FB3" w:rsidRPr="00795025">
        <w:t>dosahována</w:t>
      </w:r>
      <w:r w:rsidRPr="00795025">
        <w:t xml:space="preserve"> na koridorech a dvě třetiny rychlosti pro většinu </w:t>
      </w:r>
      <w:r w:rsidR="002E2FB3" w:rsidRPr="00795025">
        <w:t>ostatních</w:t>
      </w:r>
      <w:r w:rsidRPr="00795025">
        <w:t xml:space="preserve"> trati) je posun do </w:t>
      </w:r>
      <w:r w:rsidR="00795025">
        <w:t xml:space="preserve">vyššího </w:t>
      </w:r>
      <w:r w:rsidRPr="00795025">
        <w:t xml:space="preserve">RP2 nebo RP3 s rizikem nemožnosti dodržet </w:t>
      </w:r>
      <w:r w:rsidR="002E2FB3" w:rsidRPr="00795025">
        <w:t>povolené</w:t>
      </w:r>
      <w:r w:rsidRPr="00795025">
        <w:t xml:space="preserve"> odchylky.</w:t>
      </w:r>
    </w:p>
    <w:p w:rsidR="00B311D7" w:rsidRPr="00795025" w:rsidRDefault="00B311D7" w:rsidP="00795025">
      <w:r w:rsidRPr="00795025">
        <w:t xml:space="preserve">V </w:t>
      </w:r>
      <w:r w:rsidR="002E2FB3" w:rsidRPr="00795025">
        <w:t>celém</w:t>
      </w:r>
      <w:r w:rsidRPr="00795025">
        <w:t xml:space="preserve"> uzlu se </w:t>
      </w:r>
      <w:r w:rsidR="002E2FB3" w:rsidRPr="00795025">
        <w:t>nachází</w:t>
      </w:r>
      <w:r w:rsidRPr="00795025">
        <w:t xml:space="preserve"> cca 3000 pražců, </w:t>
      </w:r>
      <w:r w:rsidR="002E2FB3" w:rsidRPr="00795025">
        <w:t>které</w:t>
      </w:r>
      <w:r w:rsidRPr="00795025">
        <w:t xml:space="preserve"> jsou </w:t>
      </w:r>
      <w:r w:rsidR="002E2FB3" w:rsidRPr="00795025">
        <w:t>klasifikovány</w:t>
      </w:r>
      <w:r w:rsidRPr="00795025">
        <w:t xml:space="preserve"> jako </w:t>
      </w:r>
      <w:r w:rsidR="002E2FB3" w:rsidRPr="00795025">
        <w:t>nutné</w:t>
      </w:r>
      <w:r w:rsidRPr="00795025">
        <w:t xml:space="preserve"> k </w:t>
      </w:r>
      <w:r w:rsidR="002E2FB3" w:rsidRPr="00795025">
        <w:t>výměně</w:t>
      </w:r>
      <w:r w:rsidRPr="00795025">
        <w:t xml:space="preserve"> a</w:t>
      </w:r>
      <w:r w:rsidR="00795025">
        <w:t xml:space="preserve"> </w:t>
      </w:r>
      <w:r w:rsidRPr="00795025">
        <w:t xml:space="preserve">zhruba 100 </w:t>
      </w:r>
      <w:r w:rsidR="002E2FB3" w:rsidRPr="00795025">
        <w:t>výhybek</w:t>
      </w:r>
      <w:r w:rsidRPr="00795025">
        <w:t xml:space="preserve">, </w:t>
      </w:r>
      <w:r w:rsidR="002E2FB3" w:rsidRPr="00795025">
        <w:t>které</w:t>
      </w:r>
      <w:r w:rsidRPr="00795025">
        <w:t xml:space="preserve"> jsou </w:t>
      </w:r>
      <w:r w:rsidR="002E2FB3" w:rsidRPr="00795025">
        <w:t>klasifikovány</w:t>
      </w:r>
      <w:r w:rsidRPr="00795025">
        <w:t xml:space="preserve"> shodně.</w:t>
      </w:r>
    </w:p>
    <w:p w:rsidR="00B311D7" w:rsidRPr="00795025" w:rsidRDefault="00B311D7" w:rsidP="00795025">
      <w:r w:rsidRPr="00795025">
        <w:t xml:space="preserve">V žst. Polanka nad Odrou zatěžuji </w:t>
      </w:r>
      <w:r w:rsidR="002E2FB3" w:rsidRPr="00795025">
        <w:t>náklady</w:t>
      </w:r>
      <w:r w:rsidRPr="00795025">
        <w:t xml:space="preserve"> </w:t>
      </w:r>
      <w:r w:rsidR="00C61746" w:rsidRPr="00795025">
        <w:t>údržby</w:t>
      </w:r>
      <w:r w:rsidRPr="00795025">
        <w:t xml:space="preserve"> </w:t>
      </w:r>
      <w:r w:rsidR="00C61746" w:rsidRPr="00795025">
        <w:t>výhybky</w:t>
      </w:r>
      <w:r w:rsidRPr="00795025">
        <w:t xml:space="preserve">, </w:t>
      </w:r>
      <w:r w:rsidR="002E2FB3" w:rsidRPr="00795025">
        <w:t>které</w:t>
      </w:r>
      <w:r w:rsidRPr="00795025">
        <w:t xml:space="preserve"> nejsou </w:t>
      </w:r>
      <w:r w:rsidR="002E2FB3" w:rsidRPr="00795025">
        <w:t>provozovány</w:t>
      </w:r>
      <w:r w:rsidRPr="00795025">
        <w:t>, ale jsou</w:t>
      </w:r>
      <w:r w:rsidR="00795025">
        <w:t xml:space="preserve"> </w:t>
      </w:r>
      <w:r w:rsidR="002E2FB3" w:rsidRPr="00795025">
        <w:t>součástí</w:t>
      </w:r>
      <w:r w:rsidRPr="00795025">
        <w:t xml:space="preserve"> </w:t>
      </w:r>
      <w:r w:rsidR="002E2FB3" w:rsidRPr="00795025">
        <w:t>zabezpečovacího</w:t>
      </w:r>
      <w:r w:rsidRPr="00795025">
        <w:t xml:space="preserve"> </w:t>
      </w:r>
      <w:r w:rsidR="002E2FB3" w:rsidRPr="00795025">
        <w:t>zařízení</w:t>
      </w:r>
      <w:r w:rsidRPr="00795025">
        <w:t>.</w:t>
      </w:r>
    </w:p>
    <w:p w:rsidR="00B311D7" w:rsidRPr="00795025" w:rsidRDefault="00B311D7" w:rsidP="00795025">
      <w:pPr>
        <w:rPr>
          <w:b/>
        </w:rPr>
      </w:pPr>
      <w:r w:rsidRPr="00795025">
        <w:rPr>
          <w:b/>
        </w:rPr>
        <w:t>Železniční spodek</w:t>
      </w:r>
    </w:p>
    <w:p w:rsidR="00B311D7" w:rsidRPr="00795025" w:rsidRDefault="00B311D7" w:rsidP="00795025">
      <w:r w:rsidRPr="00795025">
        <w:t xml:space="preserve">Mimo v </w:t>
      </w:r>
      <w:r w:rsidR="002E2FB3" w:rsidRPr="00795025">
        <w:t>posledních</w:t>
      </w:r>
      <w:r w:rsidRPr="00795025">
        <w:t xml:space="preserve"> 20 letech </w:t>
      </w:r>
      <w:r w:rsidR="002E2FB3" w:rsidRPr="00795025">
        <w:t>rekonstruované</w:t>
      </w:r>
      <w:r w:rsidRPr="00795025">
        <w:t xml:space="preserve"> </w:t>
      </w:r>
      <w:r w:rsidR="002E2FB3" w:rsidRPr="00795025">
        <w:t>úseky</w:t>
      </w:r>
      <w:r w:rsidRPr="00795025">
        <w:t xml:space="preserve"> nelze dohledat u </w:t>
      </w:r>
      <w:r w:rsidR="002E2FB3" w:rsidRPr="00795025">
        <w:t>správce</w:t>
      </w:r>
      <w:r w:rsidRPr="00795025">
        <w:t xml:space="preserve"> dokumentaci</w:t>
      </w:r>
      <w:r w:rsidR="00191872">
        <w:t xml:space="preserve"> </w:t>
      </w:r>
      <w:r w:rsidRPr="00795025">
        <w:t xml:space="preserve">k </w:t>
      </w:r>
      <w:r w:rsidR="002E2FB3" w:rsidRPr="00795025">
        <w:t>dimenzím</w:t>
      </w:r>
      <w:r w:rsidRPr="00795025">
        <w:t xml:space="preserve"> a </w:t>
      </w:r>
      <w:r w:rsidR="002E2FB3" w:rsidRPr="00795025">
        <w:t>únosnostem</w:t>
      </w:r>
      <w:r w:rsidRPr="00795025">
        <w:t xml:space="preserve"> </w:t>
      </w:r>
      <w:r w:rsidR="002E2FB3" w:rsidRPr="00795025">
        <w:t>železničního</w:t>
      </w:r>
      <w:r w:rsidRPr="00795025">
        <w:t xml:space="preserve"> spodku, </w:t>
      </w:r>
      <w:r w:rsidR="002E2FB3" w:rsidRPr="00795025">
        <w:t>který</w:t>
      </w:r>
      <w:r w:rsidRPr="00795025">
        <w:t xml:space="preserve"> je v těchto </w:t>
      </w:r>
      <w:r w:rsidR="002E2FB3" w:rsidRPr="00795025">
        <w:t>nerekonstruovaných</w:t>
      </w:r>
      <w:r w:rsidRPr="00795025">
        <w:t xml:space="preserve"> </w:t>
      </w:r>
      <w:r w:rsidR="00C61746" w:rsidRPr="00795025">
        <w:t>úsecích</w:t>
      </w:r>
      <w:r w:rsidR="00191872">
        <w:t xml:space="preserve"> </w:t>
      </w:r>
      <w:r w:rsidR="002E2FB3" w:rsidRPr="00795025">
        <w:t>starší</w:t>
      </w:r>
      <w:r w:rsidR="00363D63">
        <w:t xml:space="preserve"> 50</w:t>
      </w:r>
      <w:r w:rsidRPr="00795025">
        <w:t xml:space="preserve"> let. </w:t>
      </w:r>
      <w:r w:rsidR="002E2FB3" w:rsidRPr="00795025">
        <w:t>Železniční</w:t>
      </w:r>
      <w:r w:rsidRPr="00795025">
        <w:t xml:space="preserve"> spodek obecně nevykazuje </w:t>
      </w:r>
      <w:r w:rsidR="002E2FB3" w:rsidRPr="00795025">
        <w:t>výrazné</w:t>
      </w:r>
      <w:r w:rsidRPr="00795025">
        <w:t xml:space="preserve"> deformace nebo </w:t>
      </w:r>
      <w:r w:rsidR="00191872">
        <w:t xml:space="preserve">problémy </w:t>
      </w:r>
      <w:r w:rsidRPr="00795025">
        <w:t xml:space="preserve">s </w:t>
      </w:r>
      <w:r w:rsidR="002E2FB3" w:rsidRPr="00795025">
        <w:t>únosnost</w:t>
      </w:r>
      <w:r w:rsidR="00363D63">
        <w:t>í</w:t>
      </w:r>
      <w:r w:rsidRPr="00795025">
        <w:t xml:space="preserve">, ale je to způsobeno i </w:t>
      </w:r>
      <w:r w:rsidR="002E2FB3" w:rsidRPr="00795025">
        <w:t>nízkými</w:t>
      </w:r>
      <w:r w:rsidRPr="00795025">
        <w:t xml:space="preserve"> </w:t>
      </w:r>
      <w:r w:rsidR="002E2FB3" w:rsidRPr="00795025">
        <w:t>traťovými</w:t>
      </w:r>
      <w:r w:rsidRPr="00795025">
        <w:t xml:space="preserve"> rychlostmi 60 až 80 km/hod. V č</w:t>
      </w:r>
      <w:r w:rsidR="00363D63">
        <w:t>á</w:t>
      </w:r>
      <w:r w:rsidRPr="00795025">
        <w:t>sti uzlu</w:t>
      </w:r>
      <w:r w:rsidR="00191872">
        <w:t xml:space="preserve"> </w:t>
      </w:r>
      <w:r w:rsidR="002E2FB3" w:rsidRPr="00795025">
        <w:t>probíhaly</w:t>
      </w:r>
      <w:r w:rsidRPr="00795025">
        <w:t xml:space="preserve"> v minulosti </w:t>
      </w:r>
      <w:r w:rsidR="002E2FB3" w:rsidRPr="00795025">
        <w:t>sanační</w:t>
      </w:r>
      <w:r w:rsidRPr="00795025">
        <w:t xml:space="preserve"> </w:t>
      </w:r>
      <w:r w:rsidR="002E2FB3" w:rsidRPr="00795025">
        <w:t>práce</w:t>
      </w:r>
      <w:r w:rsidRPr="00795025">
        <w:t xml:space="preserve"> po </w:t>
      </w:r>
      <w:r w:rsidR="002E2FB3" w:rsidRPr="00795025">
        <w:t>důlní</w:t>
      </w:r>
      <w:r w:rsidRPr="00795025">
        <w:t xml:space="preserve"> činnosti se </w:t>
      </w:r>
      <w:r w:rsidR="002E2FB3" w:rsidRPr="00795025">
        <w:t>zvedáním</w:t>
      </w:r>
      <w:r w:rsidRPr="00795025">
        <w:t xml:space="preserve"> kolej</w:t>
      </w:r>
      <w:r w:rsidR="00363D63">
        <w:t>í</w:t>
      </w:r>
      <w:r w:rsidRPr="00795025">
        <w:t xml:space="preserve">. Kvalitu </w:t>
      </w:r>
      <w:r w:rsidR="002E2FB3" w:rsidRPr="00795025">
        <w:t>materiálu</w:t>
      </w:r>
      <w:r w:rsidRPr="00795025">
        <w:t xml:space="preserve"> však</w:t>
      </w:r>
      <w:r w:rsidR="00191872">
        <w:t xml:space="preserve"> </w:t>
      </w:r>
      <w:r w:rsidRPr="00795025">
        <w:t xml:space="preserve">nelze garantovat, protože byla </w:t>
      </w:r>
      <w:r w:rsidR="002E2FB3" w:rsidRPr="00795025">
        <w:t>používána</w:t>
      </w:r>
      <w:r w:rsidRPr="00795025">
        <w:t xml:space="preserve"> i haldovina, </w:t>
      </w:r>
      <w:r w:rsidR="00C61746" w:rsidRPr="00795025">
        <w:t>která</w:t>
      </w:r>
      <w:r w:rsidRPr="00795025">
        <w:t xml:space="preserve"> se časem </w:t>
      </w:r>
      <w:r w:rsidR="002E2FB3" w:rsidRPr="00795025">
        <w:t>rozpadá</w:t>
      </w:r>
      <w:r w:rsidRPr="00795025">
        <w:t xml:space="preserve"> na zrna velikosti</w:t>
      </w:r>
      <w:r w:rsidR="00191872">
        <w:t xml:space="preserve"> </w:t>
      </w:r>
      <w:r w:rsidRPr="00795025">
        <w:t>prachu.</w:t>
      </w:r>
    </w:p>
    <w:p w:rsidR="00B311D7" w:rsidRPr="00795025" w:rsidRDefault="00B311D7" w:rsidP="00795025">
      <w:r w:rsidRPr="00795025">
        <w:t xml:space="preserve">Na </w:t>
      </w:r>
      <w:r w:rsidR="002E2FB3" w:rsidRPr="00795025">
        <w:t>základě</w:t>
      </w:r>
      <w:r w:rsidRPr="00795025">
        <w:t xml:space="preserve"> </w:t>
      </w:r>
      <w:r w:rsidR="002E2FB3" w:rsidRPr="00795025">
        <w:t>výše</w:t>
      </w:r>
      <w:r w:rsidRPr="00795025">
        <w:t xml:space="preserve"> </w:t>
      </w:r>
      <w:r w:rsidR="002E2FB3" w:rsidRPr="00795025">
        <w:t>uvedeného</w:t>
      </w:r>
      <w:r w:rsidRPr="00795025">
        <w:t xml:space="preserve"> se projektant </w:t>
      </w:r>
      <w:r w:rsidR="002E2FB3" w:rsidRPr="00795025">
        <w:t>domnívá</w:t>
      </w:r>
      <w:r w:rsidRPr="00795025">
        <w:t xml:space="preserve">, že při </w:t>
      </w:r>
      <w:r w:rsidR="002E2FB3" w:rsidRPr="00795025">
        <w:t>jakémkoliv</w:t>
      </w:r>
      <w:r w:rsidRPr="00795025">
        <w:t xml:space="preserve"> </w:t>
      </w:r>
      <w:r w:rsidR="002E2FB3" w:rsidRPr="00795025">
        <w:t>navýšeni</w:t>
      </w:r>
      <w:r w:rsidRPr="00795025">
        <w:t xml:space="preserve"> rychlosti bude</w:t>
      </w:r>
      <w:r w:rsidR="00191872">
        <w:t xml:space="preserve"> </w:t>
      </w:r>
      <w:r w:rsidRPr="00795025">
        <w:t>nutno uvažovat i s rekonstrukc</w:t>
      </w:r>
      <w:r w:rsidR="00363D63">
        <w:t>í</w:t>
      </w:r>
      <w:r w:rsidRPr="00795025">
        <w:t xml:space="preserve"> </w:t>
      </w:r>
      <w:r w:rsidR="002E2FB3" w:rsidRPr="00795025">
        <w:t>železničního</w:t>
      </w:r>
      <w:r w:rsidRPr="00795025">
        <w:t xml:space="preserve"> spodku.</w:t>
      </w:r>
    </w:p>
    <w:p w:rsidR="00B311D7" w:rsidRPr="00191872" w:rsidRDefault="00B311D7" w:rsidP="00191872">
      <w:pPr>
        <w:pStyle w:val="Nadpis3"/>
      </w:pPr>
      <w:bookmarkStart w:id="5" w:name="_Toc40186569"/>
      <w:r w:rsidRPr="00191872">
        <w:t>Mosty a umělé stavby</w:t>
      </w:r>
      <w:bookmarkEnd w:id="5"/>
    </w:p>
    <w:p w:rsidR="00DF266A" w:rsidRPr="00363D63" w:rsidRDefault="00DF266A" w:rsidP="00DF266A">
      <w:pPr>
        <w:rPr>
          <w:u w:val="single"/>
        </w:rPr>
      </w:pPr>
      <w:r w:rsidRPr="00363D63">
        <w:rPr>
          <w:u w:val="single"/>
        </w:rPr>
        <w:t>Most v km 262,609</w:t>
      </w:r>
    </w:p>
    <w:p w:rsidR="00DF266A" w:rsidRPr="00E34851" w:rsidRDefault="00DF266A" w:rsidP="00DF266A">
      <w:r w:rsidRPr="00E34851">
        <w:t>Stávající most převádí 2 traťové koleje přes polní cestu. Betonové opěry mostu jsou z roku 1948. V roce 2003 byl</w:t>
      </w:r>
      <w:r>
        <w:t xml:space="preserve">a vybudována nová železobetonová </w:t>
      </w:r>
      <w:r w:rsidRPr="00E34851">
        <w:t xml:space="preserve">deska uložená na ozubu. </w:t>
      </w:r>
      <w:r w:rsidR="007A7DB2" w:rsidRPr="00DF266A">
        <w:t>Hodnocení: K</w:t>
      </w:r>
      <w:r w:rsidR="007A7DB2">
        <w:t>1</w:t>
      </w:r>
      <w:r w:rsidR="007A7DB2" w:rsidRPr="00DF266A">
        <w:t>/S</w:t>
      </w:r>
      <w:r w:rsidR="007A7DB2">
        <w:t>1.</w:t>
      </w:r>
    </w:p>
    <w:p w:rsidR="00DF266A" w:rsidRPr="00363D63" w:rsidRDefault="00DF266A" w:rsidP="00DF266A">
      <w:pPr>
        <w:rPr>
          <w:u w:val="single"/>
        </w:rPr>
      </w:pPr>
      <w:r w:rsidRPr="00363D63">
        <w:rPr>
          <w:u w:val="single"/>
        </w:rPr>
        <w:t>Most v ev. km 263,276 (Odra)</w:t>
      </w:r>
    </w:p>
    <w:p w:rsidR="00DF266A" w:rsidRPr="00E34851" w:rsidRDefault="00DF266A" w:rsidP="00DF266A">
      <w:r w:rsidRPr="00E34851">
        <w:t xml:space="preserve">Stávající </w:t>
      </w:r>
      <w:r>
        <w:t xml:space="preserve">jednokolejné </w:t>
      </w:r>
      <w:r w:rsidRPr="00E34851">
        <w:t xml:space="preserve">mosty převádí </w:t>
      </w:r>
      <w:r>
        <w:t xml:space="preserve">2 koleje </w:t>
      </w:r>
      <w:r w:rsidRPr="00E34851">
        <w:t xml:space="preserve">přes řeku Odru a účelovou komunikaci. Spodní stavba je založena na betonových studnách hloubky 4,0 m vyplněných betonem. Základy, prahy a křídla jsou železobetonové. </w:t>
      </w:r>
      <w:r>
        <w:t>Most byl vybudován v roce 1968.</w:t>
      </w:r>
      <w:r w:rsidR="007A7DB2" w:rsidRPr="007A7DB2">
        <w:t xml:space="preserve"> </w:t>
      </w:r>
      <w:r w:rsidR="007A7DB2" w:rsidRPr="00DF266A">
        <w:t>Hodnocení: K</w:t>
      </w:r>
      <w:r w:rsidR="007A7DB2">
        <w:t>2</w:t>
      </w:r>
      <w:r w:rsidR="007A7DB2" w:rsidRPr="00DF266A">
        <w:t>/S</w:t>
      </w:r>
      <w:r w:rsidR="007A7DB2">
        <w:t>2.</w:t>
      </w:r>
    </w:p>
    <w:p w:rsidR="00DF266A" w:rsidRPr="00363D63" w:rsidRDefault="00DF266A" w:rsidP="00DF266A">
      <w:pPr>
        <w:rPr>
          <w:u w:val="single"/>
        </w:rPr>
      </w:pPr>
      <w:r w:rsidRPr="00363D63">
        <w:rPr>
          <w:u w:val="single"/>
        </w:rPr>
        <w:t>Most v ev. km 263,337</w:t>
      </w:r>
    </w:p>
    <w:p w:rsidR="00DF266A" w:rsidRPr="00001137" w:rsidRDefault="00C20C92" w:rsidP="00DF266A">
      <w:r>
        <w:t>M</w:t>
      </w:r>
      <w:r w:rsidR="00DF266A" w:rsidRPr="00001137">
        <w:t xml:space="preserve">ost představují dvě samostatné nosné konstrukce tvořené šikmými železobetonovými deskami se zabetonovanými nosníky o rozpětí 16,5 m. Spodní stavba je železobetonová, založená na pilotových stěnách z velkoprůměrových pilot. </w:t>
      </w:r>
      <w:r w:rsidR="007A7DB2" w:rsidRPr="00DF266A">
        <w:t>Hodnocení: K</w:t>
      </w:r>
      <w:r w:rsidR="007A7DB2">
        <w:t>1</w:t>
      </w:r>
      <w:r w:rsidR="007A7DB2" w:rsidRPr="00DF266A">
        <w:t>/S</w:t>
      </w:r>
      <w:r w:rsidR="007A7DB2">
        <w:t>1.</w:t>
      </w:r>
    </w:p>
    <w:p w:rsidR="00DF266A" w:rsidRPr="00363D63" w:rsidRDefault="00DF266A" w:rsidP="00DF266A">
      <w:pPr>
        <w:rPr>
          <w:u w:val="single"/>
        </w:rPr>
      </w:pPr>
      <w:r w:rsidRPr="00363D63">
        <w:rPr>
          <w:u w:val="single"/>
        </w:rPr>
        <w:t>Most v ev. km 264,269 (kolektor)</w:t>
      </w:r>
    </w:p>
    <w:p w:rsidR="00DF266A" w:rsidRPr="00DF266A" w:rsidRDefault="007A7DB2" w:rsidP="00DF266A">
      <w:r>
        <w:t>Most</w:t>
      </w:r>
      <w:r w:rsidR="00DF266A" w:rsidRPr="00DF266A">
        <w:t xml:space="preserve"> se nachází pod odstavným nádraží</w:t>
      </w:r>
      <w:r w:rsidR="00363D63">
        <w:t>m</w:t>
      </w:r>
      <w:r w:rsidR="00DF266A" w:rsidRPr="00DF266A">
        <w:t xml:space="preserve"> v Ostravě – Mariánských Horách. Nad kolektorem je 18 kolejí. Uvnitř kolektoru se nachází vodovodní síť a sdělovací kabel </w:t>
      </w:r>
      <w:r w:rsidR="00363D63" w:rsidRPr="00DF266A">
        <w:t>obojí</w:t>
      </w:r>
      <w:r w:rsidR="00DF266A" w:rsidRPr="00DF266A">
        <w:t xml:space="preserve"> sloužící přilehlému chemickému závodu, ostatní inženýrské sítě jsou v současnosti pravděpodobně nefunkční.</w:t>
      </w:r>
      <w:r w:rsidR="00363D63">
        <w:t xml:space="preserve"> </w:t>
      </w:r>
      <w:r w:rsidR="00DF266A" w:rsidRPr="00DF266A">
        <w:t>Celková šířka mostu je cca 125 m</w:t>
      </w:r>
      <w:r w:rsidR="00C20C92">
        <w:t xml:space="preserve">. </w:t>
      </w:r>
      <w:r w:rsidR="00DF266A" w:rsidRPr="00DF266A">
        <w:t>V betonových konstrukcích jsou trhliny s průsaky vody.</w:t>
      </w:r>
      <w:r w:rsidR="00C20C92">
        <w:t xml:space="preserve"> </w:t>
      </w:r>
      <w:r w:rsidR="00DF266A" w:rsidRPr="00DF266A">
        <w:t>Hodnocení: K2/S2</w:t>
      </w:r>
    </w:p>
    <w:p w:rsidR="00DF266A" w:rsidRPr="00363D63" w:rsidRDefault="00DF266A" w:rsidP="00DF266A">
      <w:pPr>
        <w:rPr>
          <w:u w:val="single"/>
        </w:rPr>
      </w:pPr>
      <w:r w:rsidRPr="00363D63">
        <w:rPr>
          <w:u w:val="single"/>
        </w:rPr>
        <w:t>Most v ev. km 264,808</w:t>
      </w:r>
    </w:p>
    <w:p w:rsidR="00DF266A" w:rsidRPr="00DF266A" w:rsidRDefault="00DF266A" w:rsidP="00DF266A">
      <w:r w:rsidRPr="00DF266A">
        <w:t>Objekt v minulosti přemosťoval Černý potok. Dnes jsou viditelné pouze zbytky betonových říms a objekt již ztratil svůj význam. Hodnocení: K99/S99</w:t>
      </w:r>
    </w:p>
    <w:p w:rsidR="00DF266A" w:rsidRPr="00363D63" w:rsidRDefault="00DF266A" w:rsidP="00DF266A">
      <w:pPr>
        <w:rPr>
          <w:u w:val="single"/>
        </w:rPr>
      </w:pPr>
      <w:r w:rsidRPr="00363D63">
        <w:rPr>
          <w:u w:val="single"/>
        </w:rPr>
        <w:t>Most v ev. km 264,865 (ulice Švermova)</w:t>
      </w:r>
    </w:p>
    <w:p w:rsidR="00DF266A" w:rsidRPr="00DF266A" w:rsidRDefault="00C20C92" w:rsidP="00DF266A">
      <w:r>
        <w:t>Most</w:t>
      </w:r>
      <w:r w:rsidR="00DF266A" w:rsidRPr="00DF266A">
        <w:t xml:space="preserve"> z</w:t>
      </w:r>
      <w:r>
        <w:t> </w:t>
      </w:r>
      <w:r w:rsidR="00DF266A" w:rsidRPr="00DF266A">
        <w:t>roku</w:t>
      </w:r>
      <w:r>
        <w:t xml:space="preserve"> 1942</w:t>
      </w:r>
      <w:r w:rsidR="00DF266A" w:rsidRPr="00DF266A">
        <w:t xml:space="preserve">. Nosné konstrukce jsou železobetonové desky o světlé šířce otvoru 2,5+9,0+2,5 m uložené na betonové spodní stavbě opěr a železobetonových pilířích. Šířka mostu je 25,0 m. Na </w:t>
      </w:r>
      <w:r w:rsidR="00DF266A" w:rsidRPr="00DF266A">
        <w:lastRenderedPageBreak/>
        <w:t>konstrukcích jsou trhliny s průsaky vody. Degradovaný a opadaný beton podhledu a dolní části pilířů. Hodnocení: K2/S2</w:t>
      </w:r>
    </w:p>
    <w:p w:rsidR="00DF266A" w:rsidRPr="00363D63" w:rsidRDefault="00DF266A" w:rsidP="00DF266A">
      <w:pPr>
        <w:rPr>
          <w:u w:val="single"/>
        </w:rPr>
      </w:pPr>
      <w:r w:rsidRPr="00363D63">
        <w:rPr>
          <w:u w:val="single"/>
        </w:rPr>
        <w:t>Most v ev. km 264,883 (ulice Švermova)</w:t>
      </w:r>
    </w:p>
    <w:p w:rsidR="00DF266A" w:rsidRPr="00DF266A" w:rsidRDefault="00C20C92" w:rsidP="00DF266A">
      <w:r>
        <w:t>M</w:t>
      </w:r>
      <w:r w:rsidR="00DF266A" w:rsidRPr="00DF266A">
        <w:t>ost z roku 1965 přes Švermovu ulici. Nosné konstrukce v 1. a 3. poli jsou železobetonové desky o světlé šířce otvoru 2,25 m uložené na betonové spodní stavbě opěr a železobetonových pilířích. V 2. poli jsou ocelové dvojčité nosníky o rozpětí 9,5 m, světlá šířka otvoru je 8,75 m. Beton konstrukcí je degradovaný a prostupuje koroze výztuže. Ocelové konstrukce jsou oslabeny korozí. Hodnocení: K2/S2</w:t>
      </w:r>
    </w:p>
    <w:p w:rsidR="00DF266A" w:rsidRPr="00363D63" w:rsidRDefault="00DF266A" w:rsidP="00DF266A">
      <w:pPr>
        <w:rPr>
          <w:u w:val="single"/>
        </w:rPr>
      </w:pPr>
      <w:r w:rsidRPr="00363D63">
        <w:rPr>
          <w:u w:val="single"/>
        </w:rPr>
        <w:t>Propustek v ev. km 264,885</w:t>
      </w:r>
    </w:p>
    <w:p w:rsidR="00DF266A" w:rsidRPr="00DF266A" w:rsidRDefault="00DF266A" w:rsidP="00DF266A">
      <w:r w:rsidRPr="00DF266A">
        <w:t xml:space="preserve">Dle místního správce se jedná o zatrubnění Černého potoka, které je v místě mostu ev. km 264,883 vedeno v komunikaci. Objekt je zakreslen v archivní dokumentaci mostu ev. km 264,883 a z podkladů od povodí Odry se jedná o troubu DN1900, vyústěnou v místě otevřeného příkopu. Nátokový objekt se nachází v teoretickém prodloužení nepoužívané klenby ev. km 264,808. Zatrubnění prochází pod kolejemi seřadiště a v prostoru mezi </w:t>
      </w:r>
      <w:r w:rsidR="00363D63" w:rsidRPr="00DF266A">
        <w:t>dvěma</w:t>
      </w:r>
      <w:r w:rsidRPr="00DF266A">
        <w:t xml:space="preserve"> železničními mosty se lomí a dále pokračuje přibližně v ose komunikace. Celková délka zatrubnění je cca 200 m, správu vykonává na části úseku OVAK a na úseku pod žel. mostem 264,883 pravděpodobně SŽ. Samotné medium spravuje povodí Odry. Hodnocení: 99</w:t>
      </w:r>
    </w:p>
    <w:p w:rsidR="00DF266A" w:rsidRPr="00363D63" w:rsidRDefault="00DF266A" w:rsidP="00DF266A">
      <w:pPr>
        <w:rPr>
          <w:u w:val="single"/>
        </w:rPr>
      </w:pPr>
      <w:r w:rsidRPr="00363D63">
        <w:rPr>
          <w:u w:val="single"/>
        </w:rPr>
        <w:t>Most v ev. km 265,386</w:t>
      </w:r>
    </w:p>
    <w:p w:rsidR="00DF266A" w:rsidRDefault="00DF266A" w:rsidP="00DF266A">
      <w:r w:rsidRPr="004E75A2">
        <w:t>Stávající most převádí 48 kolejí přes stoku v Ostravě Mariánských Horách. Konstrukce byla postupně prodlužována a skládá se proto z mnoha různých materiálů. Nejstarší části z roku 1881 jsou kamenné a cihelné klenby o světlosti 2,5 m. Pod levým nádraží jsou betonové klenby z roku 19</w:t>
      </w:r>
      <w:r>
        <w:t xml:space="preserve">43. </w:t>
      </w:r>
      <w:r w:rsidRPr="004E75A2">
        <w:t>Pod vlečkou Ostramo a parovodem jsou železobetonové trouby DN 1250 z roku 1977. Pod pravým nádražím je uzavřený železobetonový rám tvaru parabolické klenby o světlé šířce 2,5 m z roku 1965.</w:t>
      </w:r>
      <w:r w:rsidR="006821B4" w:rsidRPr="006821B4">
        <w:t xml:space="preserve"> </w:t>
      </w:r>
      <w:r w:rsidR="006821B4" w:rsidRPr="00DF266A">
        <w:t>Hodnocení: K2/S2</w:t>
      </w:r>
      <w:r w:rsidR="006821B4">
        <w:t>.</w:t>
      </w:r>
    </w:p>
    <w:p w:rsidR="00DF266A" w:rsidRPr="00363D63" w:rsidRDefault="00DF266A" w:rsidP="00DF266A">
      <w:pPr>
        <w:rPr>
          <w:u w:val="single"/>
        </w:rPr>
      </w:pPr>
      <w:r w:rsidRPr="00363D63">
        <w:rPr>
          <w:u w:val="single"/>
        </w:rPr>
        <w:t>Most v ev. km 266,006</w:t>
      </w:r>
    </w:p>
    <w:p w:rsidR="00DF266A" w:rsidRPr="00290B57" w:rsidRDefault="00DF266A" w:rsidP="00DF266A">
      <w:r w:rsidRPr="00290B57">
        <w:t xml:space="preserve">Stávající most převádí 54 kolejí přes vodní tok v Ostravě Mariánských Horách. Konstrukce byla postupně prodlužována a skládá se proto z mnoha různých materiálů. Nejstarší části z roku 1881 jsou cihelné klenby o světlosti 2,5 m. Ty se nachází ve střední části objektu, tzn. v místě hlavních traťových kolejí. Pod pravým odstavným nádraží jsou kamenné klenby z roku 1881 a 1910. Pod vlečkou OKD je betonová klenba z roku 1946 světlé šířky 2,5 m. Pod levým nádraží jsou kamenné klenby z roku 1899 a 1913 světlosti 2,5 m. Ty byly v roce 1913 a 1950 prodlouženy železobetonovou deskou. </w:t>
      </w:r>
      <w:r w:rsidR="002C1621">
        <w:t xml:space="preserve"> </w:t>
      </w:r>
      <w:r w:rsidRPr="00290B57">
        <w:t>V betonových konstrukcích jsou trhliny a beton je degradovaný s průsaky vody. Části kamenných opěr jsou vyboulené.</w:t>
      </w:r>
      <w:r w:rsidR="002C1621">
        <w:t xml:space="preserve"> </w:t>
      </w:r>
      <w:r w:rsidRPr="00290B57">
        <w:t>Hodnocení: K2/S2.</w:t>
      </w:r>
    </w:p>
    <w:p w:rsidR="00DF266A" w:rsidRPr="00363D63" w:rsidRDefault="00DF266A" w:rsidP="00DF266A">
      <w:pPr>
        <w:rPr>
          <w:u w:val="single"/>
        </w:rPr>
      </w:pPr>
      <w:r w:rsidRPr="00363D63">
        <w:rPr>
          <w:u w:val="single"/>
        </w:rPr>
        <w:t>Lávka pro chodce v ev. km 267,240 (bohumínské nástupiště)</w:t>
      </w:r>
    </w:p>
    <w:p w:rsidR="00DF266A" w:rsidRDefault="00DF266A" w:rsidP="002C1621">
      <w:r w:rsidRPr="000B2D64">
        <w:t xml:space="preserve">Nosnou konstrukci tvoří ocelové konstrukce z plnostěnných svařovaných nosníků. Podlaha lávky je asfaltový beton provedený na vlnitém plechu. </w:t>
      </w:r>
      <w:r w:rsidR="006821B4" w:rsidRPr="00DF266A">
        <w:t>Hodnocení: K</w:t>
      </w:r>
      <w:r w:rsidR="006821B4">
        <w:t>1</w:t>
      </w:r>
      <w:r w:rsidR="006821B4" w:rsidRPr="00DF266A">
        <w:t>/</w:t>
      </w:r>
      <w:r w:rsidR="006821B4">
        <w:t>S1.</w:t>
      </w:r>
    </w:p>
    <w:p w:rsidR="00DF266A" w:rsidRPr="00363D63" w:rsidRDefault="00DF266A" w:rsidP="00DF266A">
      <w:pPr>
        <w:rPr>
          <w:u w:val="single"/>
        </w:rPr>
      </w:pPr>
      <w:r w:rsidRPr="00363D63">
        <w:rPr>
          <w:u w:val="single"/>
        </w:rPr>
        <w:t>Most v ev. km 267,252 (zavazadlový tunel)</w:t>
      </w:r>
    </w:p>
    <w:p w:rsidR="002C1621" w:rsidRDefault="00DF266A" w:rsidP="00DF266A">
      <w:r w:rsidRPr="00290B57">
        <w:t xml:space="preserve">Stávající most se nachází v prostoru mezi lávkou na nástupiště a lávkou do depa. Jedná se o konstrukci z roku 1942 tvořenou </w:t>
      </w:r>
      <w:r>
        <w:t xml:space="preserve">železobetonovou deskou na betonových opěrách. Objekt je </w:t>
      </w:r>
      <w:r w:rsidRPr="00290B57">
        <w:t>zaústěn</w:t>
      </w:r>
      <w:r>
        <w:t>ý</w:t>
      </w:r>
      <w:r w:rsidRPr="00290B57">
        <w:t xml:space="preserve"> do suterénu výpravní budovy (v současnosti zazděným).</w:t>
      </w:r>
      <w:r w:rsidR="006821B4">
        <w:t xml:space="preserve"> </w:t>
      </w:r>
      <w:r w:rsidRPr="00290B57">
        <w:t xml:space="preserve">Objekt je trvale zaplaven. </w:t>
      </w:r>
    </w:p>
    <w:p w:rsidR="00DF266A" w:rsidRPr="00363D63" w:rsidRDefault="00DF266A" w:rsidP="00DF266A">
      <w:pPr>
        <w:rPr>
          <w:u w:val="single"/>
        </w:rPr>
      </w:pPr>
      <w:r w:rsidRPr="00363D63">
        <w:rPr>
          <w:u w:val="single"/>
        </w:rPr>
        <w:t>Most v ev. km 267,935 (ul. Hlučínská)</w:t>
      </w:r>
    </w:p>
    <w:p w:rsidR="00DF266A" w:rsidRPr="00DF266A" w:rsidRDefault="00DF266A" w:rsidP="00DF266A">
      <w:r w:rsidRPr="00DF266A">
        <w:t>Stávající most z roku 1932 převádí 6 kolejí přes ulici Hlučínskou. Nosné konstrukce jsou železobetonové desky se zabetonovanými nosníky o světlé šířce otvoru 5,4+7,2+5,4 m. Spodní stavba opěr je betonová, pilíře jsou vylehčené, železobetonové. Spodní pásnice nosníků jsou obnaženy a korodují. Konstrukcí celoplošně prosakuje voda.</w:t>
      </w:r>
      <w:r w:rsidR="002C1621">
        <w:t xml:space="preserve"> </w:t>
      </w:r>
      <w:r w:rsidRPr="00DF266A">
        <w:t>Hodnocení: K2/S2</w:t>
      </w:r>
    </w:p>
    <w:p w:rsidR="00DF266A" w:rsidRPr="00363D63" w:rsidRDefault="00DF266A" w:rsidP="00DF266A">
      <w:pPr>
        <w:rPr>
          <w:u w:val="single"/>
        </w:rPr>
      </w:pPr>
      <w:r w:rsidRPr="00363D63">
        <w:rPr>
          <w:u w:val="single"/>
        </w:rPr>
        <w:t>Most v ev. km 268,828 (Ostravice)</w:t>
      </w:r>
    </w:p>
    <w:p w:rsidR="00DF266A" w:rsidRDefault="00DF266A" w:rsidP="00DF266A">
      <w:r w:rsidRPr="00E34851">
        <w:t xml:space="preserve">Stávající </w:t>
      </w:r>
      <w:r>
        <w:t xml:space="preserve">jednokolejné </w:t>
      </w:r>
      <w:r w:rsidRPr="00E34851">
        <w:t xml:space="preserve">mosty převádí </w:t>
      </w:r>
      <w:r>
        <w:t xml:space="preserve">2 koleje </w:t>
      </w:r>
      <w:r w:rsidRPr="00E34851">
        <w:t xml:space="preserve">přes </w:t>
      </w:r>
      <w:r w:rsidRPr="00DD0D95">
        <w:t>parovod</w:t>
      </w:r>
      <w:r>
        <w:t>,</w:t>
      </w:r>
      <w:r w:rsidRPr="00DD0D95">
        <w:t xml:space="preserve"> </w:t>
      </w:r>
      <w:r>
        <w:t>i</w:t>
      </w:r>
      <w:r w:rsidRPr="00DD0D95">
        <w:t>nundac</w:t>
      </w:r>
      <w:r>
        <w:t>e a</w:t>
      </w:r>
      <w:r w:rsidRPr="00DD0D95">
        <w:t xml:space="preserve"> koryto </w:t>
      </w:r>
      <w:r>
        <w:t>řeky O</w:t>
      </w:r>
      <w:r w:rsidRPr="00DD0D95">
        <w:t xml:space="preserve">stravice. V prvním poli je deska ze zabetonovaných nosníků světlosti 6 m, v druhém je ocelový plnostěnný nosník </w:t>
      </w:r>
      <w:r>
        <w:t xml:space="preserve">o </w:t>
      </w:r>
      <w:r w:rsidRPr="00DD0D95">
        <w:t>rozpětí 31,5 m, ve třetím ocelový plnostěnný nosník vyztužený obloukem (Langrův trám)</w:t>
      </w:r>
      <w:r>
        <w:t xml:space="preserve"> o</w:t>
      </w:r>
      <w:r w:rsidRPr="00DD0D95">
        <w:t xml:space="preserve"> rozpětí </w:t>
      </w:r>
      <w:r w:rsidRPr="00DD0D95">
        <w:lastRenderedPageBreak/>
        <w:t xml:space="preserve">63 m a ve čtvrtém ocelový plnostěnný nosník </w:t>
      </w:r>
      <w:r>
        <w:t xml:space="preserve">o </w:t>
      </w:r>
      <w:r w:rsidRPr="00DD0D95">
        <w:t>rozpětí 31,5 m.</w:t>
      </w:r>
      <w:r>
        <w:t xml:space="preserve"> Konstrukce </w:t>
      </w:r>
      <w:r w:rsidRPr="00DD0D95">
        <w:t>s centricky uloženými mostnicemi</w:t>
      </w:r>
      <w:r>
        <w:t xml:space="preserve"> jsou z roku 1986. </w:t>
      </w:r>
      <w:r w:rsidRPr="00DD0D95">
        <w:t>Spodní stavby jsou betonové a plošně založené.</w:t>
      </w:r>
      <w:r w:rsidR="006821B4">
        <w:t xml:space="preserve"> </w:t>
      </w:r>
      <w:r w:rsidR="006821B4" w:rsidRPr="00DF266A">
        <w:t>Hodnocení: K2/S</w:t>
      </w:r>
      <w:r w:rsidR="006821B4">
        <w:t>1.</w:t>
      </w:r>
    </w:p>
    <w:p w:rsidR="00DF266A" w:rsidRPr="00363D63" w:rsidRDefault="00DF266A" w:rsidP="00DF266A">
      <w:pPr>
        <w:rPr>
          <w:u w:val="single"/>
        </w:rPr>
      </w:pPr>
      <w:r w:rsidRPr="00363D63">
        <w:rPr>
          <w:u w:val="single"/>
        </w:rPr>
        <w:t>Lávka pro chodce v ev. km 0,217 (Frýdlantské nástupiště)</w:t>
      </w:r>
    </w:p>
    <w:p w:rsidR="000F7137" w:rsidRPr="00191872" w:rsidRDefault="00DF266A" w:rsidP="00191872">
      <w:r w:rsidRPr="0088790A">
        <w:t xml:space="preserve">Nosnou konstrukci tvoří ocelové konstrukce z plnostěnných svařovaných nosníků uložených na ocelových ložiscích. Podlaha lávky je asfaltový beton provedený na vlnitém plechu. Stěny jsou z trapézového plechu se skleněnými okny. </w:t>
      </w:r>
    </w:p>
    <w:p w:rsidR="000F7137" w:rsidRPr="00191872" w:rsidRDefault="000F7137" w:rsidP="00191872">
      <w:pPr>
        <w:pStyle w:val="Nadpis3"/>
      </w:pPr>
      <w:bookmarkStart w:id="6" w:name="_Toc40186570"/>
      <w:r w:rsidRPr="00191872">
        <w:t>Sdělovací zařízení</w:t>
      </w:r>
      <w:bookmarkEnd w:id="6"/>
    </w:p>
    <w:p w:rsidR="000F7137" w:rsidRPr="00191872" w:rsidRDefault="000F7137" w:rsidP="00191872">
      <w:pPr>
        <w:rPr>
          <w:b/>
        </w:rPr>
      </w:pPr>
      <w:r w:rsidRPr="00191872">
        <w:rPr>
          <w:b/>
        </w:rPr>
        <w:t>Žst. Ostrava-Svinov :</w:t>
      </w:r>
    </w:p>
    <w:p w:rsidR="000F7137" w:rsidRPr="00191872" w:rsidRDefault="002E2FB3" w:rsidP="00191872">
      <w:r w:rsidRPr="00191872">
        <w:t>Sdělovací</w:t>
      </w:r>
      <w:r w:rsidR="000F7137" w:rsidRPr="00191872">
        <w:t xml:space="preserve"> </w:t>
      </w:r>
      <w:r w:rsidRPr="00191872">
        <w:t>zařízení</w:t>
      </w:r>
      <w:r w:rsidR="000F7137" w:rsidRPr="00191872">
        <w:t xml:space="preserve"> bylo uvedeno do provozu v roce 2003. V </w:t>
      </w:r>
      <w:r w:rsidRPr="00191872">
        <w:t>rámci</w:t>
      </w:r>
      <w:r w:rsidR="000F7137" w:rsidRPr="00191872">
        <w:t xml:space="preserve"> </w:t>
      </w:r>
      <w:r w:rsidRPr="00191872">
        <w:t>sdělovacího</w:t>
      </w:r>
      <w:r w:rsidR="000F7137" w:rsidRPr="00191872">
        <w:t xml:space="preserve"> </w:t>
      </w:r>
      <w:r w:rsidRPr="00191872">
        <w:t>zařízení</w:t>
      </w:r>
      <w:r w:rsidR="000F7137" w:rsidRPr="00191872">
        <w:t xml:space="preserve"> byl položen </w:t>
      </w:r>
      <w:r w:rsidRPr="00191872">
        <w:t>traťový</w:t>
      </w:r>
      <w:r w:rsidR="00176E2D">
        <w:t xml:space="preserve"> kabel</w:t>
      </w:r>
      <w:r w:rsidR="000F7137" w:rsidRPr="00191872">
        <w:t xml:space="preserve">. V žst. je v provozu </w:t>
      </w:r>
      <w:r w:rsidRPr="00191872">
        <w:t>přenosové</w:t>
      </w:r>
      <w:r w:rsidR="000F7137" w:rsidRPr="00191872">
        <w:t xml:space="preserve"> </w:t>
      </w:r>
      <w:r w:rsidRPr="00191872">
        <w:t>zařízení</w:t>
      </w:r>
      <w:r w:rsidR="000F7137" w:rsidRPr="00191872">
        <w:t xml:space="preserve"> </w:t>
      </w:r>
      <w:r w:rsidRPr="00191872">
        <w:t>provozované</w:t>
      </w:r>
      <w:r w:rsidR="000F7137" w:rsidRPr="00191872">
        <w:t xml:space="preserve"> po</w:t>
      </w:r>
      <w:r w:rsidR="00191872">
        <w:t xml:space="preserve"> </w:t>
      </w:r>
      <w:r w:rsidRPr="00191872">
        <w:t>optických</w:t>
      </w:r>
      <w:r w:rsidR="000F7137" w:rsidRPr="00191872">
        <w:t xml:space="preserve"> kabelech</w:t>
      </w:r>
      <w:r w:rsidR="00176E2D">
        <w:t>,</w:t>
      </w:r>
      <w:r w:rsidR="000F7137" w:rsidRPr="00191872">
        <w:t xml:space="preserve"> </w:t>
      </w:r>
      <w:r w:rsidRPr="00191872">
        <w:t>rozhlasové</w:t>
      </w:r>
      <w:r w:rsidR="000F7137" w:rsidRPr="00191872">
        <w:t xml:space="preserve"> </w:t>
      </w:r>
      <w:r w:rsidRPr="00191872">
        <w:t>zařízení</w:t>
      </w:r>
      <w:r w:rsidR="000F7137" w:rsidRPr="00191872">
        <w:t xml:space="preserve"> pro </w:t>
      </w:r>
      <w:r w:rsidRPr="00191872">
        <w:t>cestující</w:t>
      </w:r>
      <w:r w:rsidR="000F7137" w:rsidRPr="00191872">
        <w:t xml:space="preserve">, </w:t>
      </w:r>
      <w:r w:rsidRPr="00191872">
        <w:t>informační</w:t>
      </w:r>
      <w:r w:rsidR="000F7137" w:rsidRPr="00191872">
        <w:t xml:space="preserve"> </w:t>
      </w:r>
      <w:r w:rsidRPr="00191872">
        <w:t>zařízení</w:t>
      </w:r>
      <w:r w:rsidR="000F7137" w:rsidRPr="00191872">
        <w:t>,</w:t>
      </w:r>
      <w:r w:rsidR="00191872">
        <w:t xml:space="preserve"> </w:t>
      </w:r>
      <w:r w:rsidRPr="00191872">
        <w:t>integrované</w:t>
      </w:r>
      <w:r w:rsidR="000F7137" w:rsidRPr="00191872">
        <w:t xml:space="preserve"> </w:t>
      </w:r>
      <w:r w:rsidRPr="00191872">
        <w:t>telekomunikační</w:t>
      </w:r>
      <w:r w:rsidR="000F7137" w:rsidRPr="00191872">
        <w:t xml:space="preserve"> </w:t>
      </w:r>
      <w:r w:rsidRPr="00191872">
        <w:t>zařízení</w:t>
      </w:r>
      <w:r w:rsidR="000F7137" w:rsidRPr="00191872">
        <w:t xml:space="preserve"> ITZ, </w:t>
      </w:r>
      <w:r w:rsidRPr="00191872">
        <w:t>kamerový</w:t>
      </w:r>
      <w:r w:rsidR="000F7137" w:rsidRPr="00191872">
        <w:t xml:space="preserve"> </w:t>
      </w:r>
      <w:r w:rsidRPr="00191872">
        <w:t>systém</w:t>
      </w:r>
      <w:r w:rsidR="000F7137" w:rsidRPr="00191872">
        <w:t xml:space="preserve">, </w:t>
      </w:r>
      <w:r w:rsidRPr="00191872">
        <w:t>traťový</w:t>
      </w:r>
      <w:r w:rsidR="000F7137" w:rsidRPr="00191872">
        <w:t xml:space="preserve"> </w:t>
      </w:r>
      <w:r w:rsidRPr="00191872">
        <w:t>radiový</w:t>
      </w:r>
      <w:r w:rsidR="000F7137" w:rsidRPr="00191872">
        <w:t xml:space="preserve"> </w:t>
      </w:r>
      <w:r w:rsidRPr="00191872">
        <w:t>systém</w:t>
      </w:r>
      <w:r w:rsidR="000F7137" w:rsidRPr="00191872">
        <w:t xml:space="preserve"> TRS a nově</w:t>
      </w:r>
      <w:r w:rsidR="00191872">
        <w:t xml:space="preserve"> </w:t>
      </w:r>
      <w:r w:rsidRPr="00191872">
        <w:t>systém</w:t>
      </w:r>
      <w:r w:rsidR="000F7137" w:rsidRPr="00191872">
        <w:t xml:space="preserve"> GSM-R. </w:t>
      </w:r>
      <w:r w:rsidRPr="00191872">
        <w:t>Technologická</w:t>
      </w:r>
      <w:r w:rsidR="000F7137" w:rsidRPr="00191872">
        <w:t xml:space="preserve"> </w:t>
      </w:r>
      <w:r w:rsidRPr="00191872">
        <w:t>zařízení</w:t>
      </w:r>
      <w:r w:rsidR="000F7137" w:rsidRPr="00191872">
        <w:t xml:space="preserve"> jsou </w:t>
      </w:r>
      <w:r w:rsidRPr="00191872">
        <w:t>chráněna</w:t>
      </w:r>
      <w:r w:rsidR="000F7137" w:rsidRPr="00191872">
        <w:t xml:space="preserve"> </w:t>
      </w:r>
      <w:r w:rsidRPr="00191872">
        <w:t>systémem</w:t>
      </w:r>
      <w:r w:rsidR="000F7137" w:rsidRPr="00191872">
        <w:t xml:space="preserve"> </w:t>
      </w:r>
      <w:r w:rsidRPr="00191872">
        <w:t>elektrické</w:t>
      </w:r>
      <w:r w:rsidR="000F7137" w:rsidRPr="00191872">
        <w:t xml:space="preserve"> </w:t>
      </w:r>
      <w:r w:rsidRPr="00191872">
        <w:t>požární</w:t>
      </w:r>
      <w:r w:rsidR="000F7137" w:rsidRPr="00191872">
        <w:t xml:space="preserve"> signalizace</w:t>
      </w:r>
      <w:r w:rsidR="00191872">
        <w:t xml:space="preserve"> </w:t>
      </w:r>
      <w:r w:rsidR="000F7137" w:rsidRPr="00191872">
        <w:t xml:space="preserve">EPS a </w:t>
      </w:r>
      <w:r w:rsidRPr="00191872">
        <w:t>elektrické</w:t>
      </w:r>
      <w:r w:rsidR="000F7137" w:rsidRPr="00191872">
        <w:t xml:space="preserve"> </w:t>
      </w:r>
      <w:r w:rsidRPr="00191872">
        <w:t>zabezpečovací</w:t>
      </w:r>
      <w:r w:rsidR="000F7137" w:rsidRPr="00191872">
        <w:t xml:space="preserve"> signalizace EZS.</w:t>
      </w:r>
    </w:p>
    <w:p w:rsidR="000F7137" w:rsidRPr="00191872" w:rsidRDefault="000F7137" w:rsidP="00191872">
      <w:pPr>
        <w:rPr>
          <w:b/>
        </w:rPr>
      </w:pPr>
      <w:r w:rsidRPr="00191872">
        <w:rPr>
          <w:b/>
        </w:rPr>
        <w:t xml:space="preserve">Žst. Ostrava </w:t>
      </w:r>
      <w:r w:rsidR="000F38E0">
        <w:rPr>
          <w:b/>
        </w:rPr>
        <w:t>hl.n.</w:t>
      </w:r>
      <w:r w:rsidR="002E2FB3" w:rsidRPr="00191872">
        <w:rPr>
          <w:b/>
        </w:rPr>
        <w:t>:</w:t>
      </w:r>
    </w:p>
    <w:p w:rsidR="00191872" w:rsidRDefault="000F7137" w:rsidP="00191872">
      <w:r w:rsidRPr="00191872">
        <w:t xml:space="preserve">V </w:t>
      </w:r>
      <w:r w:rsidR="002E2FB3" w:rsidRPr="00191872">
        <w:t>rámci</w:t>
      </w:r>
      <w:r w:rsidRPr="00191872">
        <w:t xml:space="preserve"> modernizace </w:t>
      </w:r>
      <w:r w:rsidR="002E2FB3" w:rsidRPr="00191872">
        <w:t>úseku</w:t>
      </w:r>
      <w:r w:rsidRPr="00191872">
        <w:t xml:space="preserve"> </w:t>
      </w:r>
      <w:r w:rsidR="002E2FB3" w:rsidRPr="00191872">
        <w:t>Studénka</w:t>
      </w:r>
      <w:r w:rsidRPr="00191872">
        <w:t xml:space="preserve"> - Ostrava byl položen </w:t>
      </w:r>
      <w:r w:rsidR="002E2FB3" w:rsidRPr="00191872">
        <w:t>traťový</w:t>
      </w:r>
      <w:r w:rsidRPr="00191872">
        <w:t xml:space="preserve"> kabel. V žst. Ostrava </w:t>
      </w:r>
      <w:r w:rsidR="000F38E0">
        <w:t>hl.n.</w:t>
      </w:r>
      <w:r w:rsidRPr="00191872">
        <w:t xml:space="preserve"> je v provozu </w:t>
      </w:r>
      <w:r w:rsidR="002E2FB3" w:rsidRPr="00191872">
        <w:t>přenosové</w:t>
      </w:r>
      <w:r w:rsidRPr="00191872">
        <w:t xml:space="preserve"> </w:t>
      </w:r>
      <w:r w:rsidR="002E2FB3" w:rsidRPr="00191872">
        <w:t>zařízení</w:t>
      </w:r>
      <w:r w:rsidR="00191872">
        <w:t xml:space="preserve"> </w:t>
      </w:r>
      <w:r w:rsidR="002E2FB3" w:rsidRPr="00191872">
        <w:t>provozované</w:t>
      </w:r>
      <w:r w:rsidRPr="00191872">
        <w:t xml:space="preserve"> po </w:t>
      </w:r>
      <w:r w:rsidR="002E2FB3" w:rsidRPr="00191872">
        <w:t>optických</w:t>
      </w:r>
      <w:r w:rsidRPr="00191872">
        <w:t xml:space="preserve"> kabelech</w:t>
      </w:r>
      <w:r w:rsidR="00654914">
        <w:t>,</w:t>
      </w:r>
      <w:r w:rsidRPr="00191872">
        <w:t xml:space="preserve"> </w:t>
      </w:r>
      <w:r w:rsidR="002E2FB3" w:rsidRPr="00191872">
        <w:t>rozhlasové</w:t>
      </w:r>
      <w:r w:rsidRPr="00191872">
        <w:t xml:space="preserve"> </w:t>
      </w:r>
      <w:r w:rsidR="002E2FB3" w:rsidRPr="00191872">
        <w:t>zařízení</w:t>
      </w:r>
      <w:r w:rsidRPr="00191872">
        <w:t xml:space="preserve"> pro </w:t>
      </w:r>
      <w:r w:rsidR="002E2FB3" w:rsidRPr="00191872">
        <w:t>cestující</w:t>
      </w:r>
      <w:r w:rsidRPr="00191872">
        <w:t xml:space="preserve">, </w:t>
      </w:r>
      <w:r w:rsidR="002E2FB3" w:rsidRPr="00191872">
        <w:t>informační</w:t>
      </w:r>
      <w:r w:rsidR="00191872">
        <w:t xml:space="preserve"> </w:t>
      </w:r>
      <w:r w:rsidR="002E2FB3" w:rsidRPr="00191872">
        <w:t>zařízení</w:t>
      </w:r>
      <w:r w:rsidRPr="00191872">
        <w:t xml:space="preserve">, </w:t>
      </w:r>
      <w:r w:rsidR="002E2FB3" w:rsidRPr="00191872">
        <w:t>integrované</w:t>
      </w:r>
      <w:r w:rsidRPr="00191872">
        <w:t xml:space="preserve"> </w:t>
      </w:r>
      <w:r w:rsidR="002E2FB3" w:rsidRPr="00191872">
        <w:t>telekomunikační</w:t>
      </w:r>
      <w:r w:rsidRPr="00191872">
        <w:t xml:space="preserve"> </w:t>
      </w:r>
      <w:r w:rsidR="002E2FB3" w:rsidRPr="00191872">
        <w:t>zařízení</w:t>
      </w:r>
      <w:r w:rsidRPr="00191872">
        <w:t xml:space="preserve"> ITZ, </w:t>
      </w:r>
      <w:r w:rsidR="002E2FB3" w:rsidRPr="00191872">
        <w:t>kamerový</w:t>
      </w:r>
      <w:r w:rsidRPr="00191872">
        <w:t xml:space="preserve"> </w:t>
      </w:r>
      <w:r w:rsidR="002E2FB3" w:rsidRPr="00191872">
        <w:t>systém</w:t>
      </w:r>
      <w:r w:rsidRPr="00191872">
        <w:t xml:space="preserve">, </w:t>
      </w:r>
      <w:r w:rsidR="002E2FB3" w:rsidRPr="00191872">
        <w:t>traťový</w:t>
      </w:r>
      <w:r w:rsidRPr="00191872">
        <w:t xml:space="preserve"> </w:t>
      </w:r>
      <w:r w:rsidR="002E2FB3" w:rsidRPr="00191872">
        <w:t>radiový</w:t>
      </w:r>
      <w:r w:rsidRPr="00191872">
        <w:t xml:space="preserve"> </w:t>
      </w:r>
      <w:r w:rsidR="00191872">
        <w:t xml:space="preserve">systém </w:t>
      </w:r>
      <w:r w:rsidRPr="00191872">
        <w:t xml:space="preserve">TRS, </w:t>
      </w:r>
      <w:r w:rsidR="002E2FB3" w:rsidRPr="00191872">
        <w:t>místní</w:t>
      </w:r>
      <w:r w:rsidRPr="00191872">
        <w:t xml:space="preserve"> </w:t>
      </w:r>
      <w:r w:rsidR="002E2FB3" w:rsidRPr="00191872">
        <w:t>radiový</w:t>
      </w:r>
      <w:r w:rsidRPr="00191872">
        <w:t xml:space="preserve"> </w:t>
      </w:r>
      <w:r w:rsidR="002E2FB3" w:rsidRPr="00191872">
        <w:t>systém</w:t>
      </w:r>
      <w:r w:rsidRPr="00191872">
        <w:t xml:space="preserve"> MRS a nově </w:t>
      </w:r>
      <w:r w:rsidR="002E2FB3" w:rsidRPr="00191872">
        <w:t>systém</w:t>
      </w:r>
      <w:r w:rsidRPr="00191872">
        <w:t xml:space="preserve"> GSM-R. </w:t>
      </w:r>
      <w:r w:rsidR="002E2FB3" w:rsidRPr="00191872">
        <w:t>Technologická</w:t>
      </w:r>
      <w:r w:rsidRPr="00191872">
        <w:t xml:space="preserve"> </w:t>
      </w:r>
      <w:r w:rsidR="002E2FB3" w:rsidRPr="00191872">
        <w:t>zařízení</w:t>
      </w:r>
      <w:r w:rsidRPr="00191872">
        <w:t xml:space="preserve"> jsou </w:t>
      </w:r>
      <w:r w:rsidR="002E2FB3" w:rsidRPr="00191872">
        <w:t>chráněna</w:t>
      </w:r>
      <w:r w:rsidR="00191872">
        <w:t xml:space="preserve"> </w:t>
      </w:r>
      <w:r w:rsidR="002E2FB3" w:rsidRPr="00191872">
        <w:t>systémem</w:t>
      </w:r>
      <w:r w:rsidRPr="00191872">
        <w:t xml:space="preserve"> </w:t>
      </w:r>
      <w:r w:rsidR="002E2FB3" w:rsidRPr="00191872">
        <w:t>elektrické</w:t>
      </w:r>
      <w:r w:rsidRPr="00191872">
        <w:t xml:space="preserve"> </w:t>
      </w:r>
      <w:r w:rsidR="002E2FB3" w:rsidRPr="00191872">
        <w:t>požární</w:t>
      </w:r>
      <w:r w:rsidRPr="00191872">
        <w:t xml:space="preserve"> signalizace EPS a </w:t>
      </w:r>
      <w:r w:rsidR="002E2FB3" w:rsidRPr="00191872">
        <w:t>elektrické</w:t>
      </w:r>
      <w:r w:rsidRPr="00191872">
        <w:t xml:space="preserve"> </w:t>
      </w:r>
      <w:r w:rsidR="002E2FB3" w:rsidRPr="00191872">
        <w:t>zabezpečovací</w:t>
      </w:r>
      <w:r w:rsidRPr="00191872">
        <w:t xml:space="preserve"> signalizace EZS.</w:t>
      </w:r>
      <w:r w:rsidR="00191872">
        <w:t xml:space="preserve"> </w:t>
      </w:r>
    </w:p>
    <w:p w:rsidR="000F7137" w:rsidRPr="00191872" w:rsidRDefault="000F7137" w:rsidP="00191872">
      <w:pPr>
        <w:rPr>
          <w:b/>
        </w:rPr>
      </w:pPr>
      <w:r w:rsidRPr="00191872">
        <w:rPr>
          <w:b/>
        </w:rPr>
        <w:t xml:space="preserve">Úsek Ostrava uhelné nádraží – Ostrava střed – </w:t>
      </w:r>
      <w:r w:rsidR="002E2FB3" w:rsidRPr="00191872">
        <w:rPr>
          <w:b/>
        </w:rPr>
        <w:t>Kunčice:</w:t>
      </w:r>
    </w:p>
    <w:p w:rsidR="000F7137" w:rsidRPr="00191872" w:rsidRDefault="000F7137" w:rsidP="00191872">
      <w:r w:rsidRPr="00191872">
        <w:t xml:space="preserve">V </w:t>
      </w:r>
      <w:r w:rsidR="002E2FB3" w:rsidRPr="00191872">
        <w:t>traťovém</w:t>
      </w:r>
      <w:r w:rsidRPr="00191872">
        <w:t xml:space="preserve"> </w:t>
      </w:r>
      <w:r w:rsidR="002E2FB3" w:rsidRPr="00191872">
        <w:t>úseku</w:t>
      </w:r>
      <w:r w:rsidRPr="00191872">
        <w:t xml:space="preserve"> je položen </w:t>
      </w:r>
      <w:r w:rsidR="002E2FB3" w:rsidRPr="00191872">
        <w:t>traťový</w:t>
      </w:r>
      <w:r w:rsidR="00654914">
        <w:t xml:space="preserve"> kabel</w:t>
      </w:r>
      <w:r w:rsidRPr="00191872">
        <w:t xml:space="preserve">. </w:t>
      </w:r>
      <w:r w:rsidR="002E2FB3" w:rsidRPr="00191872">
        <w:t>Stávající</w:t>
      </w:r>
      <w:r w:rsidRPr="00191872">
        <w:t xml:space="preserve"> </w:t>
      </w:r>
      <w:r w:rsidR="002E2FB3" w:rsidRPr="00191872">
        <w:t>dálkové</w:t>
      </w:r>
      <w:r w:rsidR="00191872">
        <w:t xml:space="preserve"> </w:t>
      </w:r>
      <w:r w:rsidRPr="00191872">
        <w:t xml:space="preserve">kabely jsou buď mimo </w:t>
      </w:r>
      <w:r w:rsidR="002E2FB3" w:rsidRPr="00191872">
        <w:t>provoz, nebo</w:t>
      </w:r>
      <w:r w:rsidRPr="00191872">
        <w:t xml:space="preserve"> jsou určeny jako </w:t>
      </w:r>
      <w:r w:rsidR="002E2FB3" w:rsidRPr="00191872">
        <w:t>kabelová</w:t>
      </w:r>
      <w:r w:rsidRPr="00191872">
        <w:t xml:space="preserve"> rezerva. V tomto </w:t>
      </w:r>
      <w:r w:rsidR="002E2FB3" w:rsidRPr="00191872">
        <w:t>úseku</w:t>
      </w:r>
      <w:r w:rsidRPr="00191872">
        <w:t xml:space="preserve"> je i</w:t>
      </w:r>
      <w:r w:rsidR="00191872">
        <w:t xml:space="preserve"> </w:t>
      </w:r>
      <w:r w:rsidRPr="00191872">
        <w:t xml:space="preserve">opticky kabel ČD-T a je v provozu </w:t>
      </w:r>
      <w:r w:rsidR="002E2FB3" w:rsidRPr="00191872">
        <w:t>radiové</w:t>
      </w:r>
      <w:r w:rsidRPr="00191872">
        <w:t xml:space="preserve"> </w:t>
      </w:r>
      <w:r w:rsidR="002E2FB3" w:rsidRPr="00191872">
        <w:t>zařízení</w:t>
      </w:r>
      <w:r w:rsidRPr="00191872">
        <w:t xml:space="preserve"> TRS.</w:t>
      </w:r>
    </w:p>
    <w:p w:rsidR="000F7137" w:rsidRPr="00191872" w:rsidRDefault="000F7137" w:rsidP="00191872">
      <w:pPr>
        <w:rPr>
          <w:b/>
        </w:rPr>
      </w:pPr>
      <w:r w:rsidRPr="00191872">
        <w:rPr>
          <w:b/>
        </w:rPr>
        <w:t xml:space="preserve">ŽST Ostrava </w:t>
      </w:r>
      <w:r w:rsidR="002E2FB3" w:rsidRPr="00191872">
        <w:rPr>
          <w:b/>
        </w:rPr>
        <w:t>střed:</w:t>
      </w:r>
    </w:p>
    <w:p w:rsidR="000F7137" w:rsidRPr="00191872" w:rsidRDefault="000F7137" w:rsidP="00191872">
      <w:r w:rsidRPr="00191872">
        <w:t xml:space="preserve">Ve stanici je položen </w:t>
      </w:r>
      <w:r w:rsidR="002E2FB3" w:rsidRPr="00191872">
        <w:t>traťový</w:t>
      </w:r>
      <w:r w:rsidRPr="00191872">
        <w:t xml:space="preserve"> kabel. V žst. Ostrava střed je v</w:t>
      </w:r>
      <w:r w:rsidR="00191872">
        <w:t> </w:t>
      </w:r>
      <w:r w:rsidRPr="00191872">
        <w:t>provozu</w:t>
      </w:r>
      <w:r w:rsidR="00191872">
        <w:t xml:space="preserve"> </w:t>
      </w:r>
      <w:r w:rsidR="002E2FB3" w:rsidRPr="00191872">
        <w:t>přenosové</w:t>
      </w:r>
      <w:r w:rsidRPr="00191872">
        <w:t xml:space="preserve"> </w:t>
      </w:r>
      <w:r w:rsidR="002E2FB3" w:rsidRPr="00191872">
        <w:t>zařízení</w:t>
      </w:r>
      <w:r w:rsidRPr="00191872">
        <w:t xml:space="preserve"> </w:t>
      </w:r>
      <w:r w:rsidR="002E2FB3" w:rsidRPr="00191872">
        <w:t>provozované</w:t>
      </w:r>
      <w:r w:rsidRPr="00191872">
        <w:t xml:space="preserve"> po </w:t>
      </w:r>
      <w:r w:rsidR="002E2FB3" w:rsidRPr="00191872">
        <w:t>optických</w:t>
      </w:r>
      <w:r w:rsidRPr="00191872">
        <w:t xml:space="preserve"> kabelech</w:t>
      </w:r>
      <w:r w:rsidR="00654914">
        <w:t>,</w:t>
      </w:r>
      <w:r w:rsidRPr="00191872">
        <w:t xml:space="preserve"> </w:t>
      </w:r>
      <w:r w:rsidR="002E2FB3" w:rsidRPr="00191872">
        <w:t>rozhlasové</w:t>
      </w:r>
      <w:r w:rsidRPr="00191872">
        <w:t xml:space="preserve"> </w:t>
      </w:r>
      <w:r w:rsidR="002E2FB3" w:rsidRPr="00191872">
        <w:t>zařízení</w:t>
      </w:r>
      <w:r w:rsidRPr="00191872">
        <w:t xml:space="preserve"> pro</w:t>
      </w:r>
      <w:r w:rsidR="00191872">
        <w:t xml:space="preserve"> </w:t>
      </w:r>
      <w:r w:rsidR="002E2FB3" w:rsidRPr="00191872">
        <w:t>cestující</w:t>
      </w:r>
      <w:r w:rsidRPr="00191872">
        <w:t xml:space="preserve">, </w:t>
      </w:r>
      <w:r w:rsidR="002E2FB3" w:rsidRPr="00191872">
        <w:t>traťový</w:t>
      </w:r>
      <w:r w:rsidRPr="00191872">
        <w:t xml:space="preserve"> </w:t>
      </w:r>
      <w:r w:rsidR="002E2FB3" w:rsidRPr="00191872">
        <w:t>radiový</w:t>
      </w:r>
      <w:r w:rsidRPr="00191872">
        <w:t xml:space="preserve"> </w:t>
      </w:r>
      <w:r w:rsidR="002E2FB3" w:rsidRPr="00191872">
        <w:t>systém</w:t>
      </w:r>
      <w:r w:rsidRPr="00191872">
        <w:t xml:space="preserve"> TRS, </w:t>
      </w:r>
      <w:r w:rsidR="002E2FB3" w:rsidRPr="00191872">
        <w:t>místní</w:t>
      </w:r>
      <w:r w:rsidRPr="00191872">
        <w:t xml:space="preserve"> </w:t>
      </w:r>
      <w:r w:rsidR="002E2FB3" w:rsidRPr="00191872">
        <w:t>radiový</w:t>
      </w:r>
      <w:r w:rsidRPr="00191872">
        <w:t xml:space="preserve"> </w:t>
      </w:r>
      <w:r w:rsidR="002E2FB3" w:rsidRPr="00191872">
        <w:t>systém</w:t>
      </w:r>
      <w:r w:rsidRPr="00191872">
        <w:t xml:space="preserve"> MRS. </w:t>
      </w:r>
      <w:r w:rsidR="002E2FB3" w:rsidRPr="00191872">
        <w:t>Technologická</w:t>
      </w:r>
      <w:r w:rsidRPr="00191872">
        <w:t xml:space="preserve"> </w:t>
      </w:r>
      <w:r w:rsidR="002E2FB3" w:rsidRPr="00191872">
        <w:t>zařízení</w:t>
      </w:r>
      <w:r w:rsidRPr="00191872">
        <w:t xml:space="preserve"> jsou</w:t>
      </w:r>
      <w:r w:rsidR="00191872">
        <w:t xml:space="preserve"> </w:t>
      </w:r>
      <w:r w:rsidR="002E2FB3" w:rsidRPr="00191872">
        <w:t>chráněna</w:t>
      </w:r>
      <w:r w:rsidRPr="00191872">
        <w:t xml:space="preserve"> </w:t>
      </w:r>
      <w:r w:rsidR="002E2FB3" w:rsidRPr="00191872">
        <w:t>systémem</w:t>
      </w:r>
      <w:r w:rsidRPr="00191872">
        <w:t xml:space="preserve"> </w:t>
      </w:r>
      <w:r w:rsidR="002E2FB3" w:rsidRPr="00191872">
        <w:t>elektrické</w:t>
      </w:r>
      <w:r w:rsidRPr="00191872">
        <w:t xml:space="preserve"> </w:t>
      </w:r>
      <w:r w:rsidR="002E2FB3" w:rsidRPr="00191872">
        <w:t>požární</w:t>
      </w:r>
      <w:r w:rsidRPr="00191872">
        <w:t xml:space="preserve"> signalizace EPS a </w:t>
      </w:r>
      <w:r w:rsidR="002E2FB3" w:rsidRPr="00191872">
        <w:t>elektrické</w:t>
      </w:r>
      <w:r w:rsidRPr="00191872">
        <w:t xml:space="preserve"> </w:t>
      </w:r>
      <w:r w:rsidR="002E2FB3" w:rsidRPr="00191872">
        <w:t>zabezpečovací</w:t>
      </w:r>
      <w:r w:rsidRPr="00191872">
        <w:t xml:space="preserve"> signalizace</w:t>
      </w:r>
      <w:r w:rsidR="00191872">
        <w:t xml:space="preserve"> </w:t>
      </w:r>
      <w:r w:rsidRPr="00191872">
        <w:t xml:space="preserve">EZS. V tomto </w:t>
      </w:r>
      <w:r w:rsidR="002E2FB3" w:rsidRPr="00191872">
        <w:t>úseku</w:t>
      </w:r>
      <w:r w:rsidRPr="00191872">
        <w:t xml:space="preserve"> je v provozu i opticky kabel ČD-T.</w:t>
      </w:r>
    </w:p>
    <w:p w:rsidR="000F7137" w:rsidRPr="009E55EB" w:rsidRDefault="000F7137" w:rsidP="009E55EB">
      <w:pPr>
        <w:pStyle w:val="Nadpis3"/>
      </w:pPr>
      <w:bookmarkStart w:id="7" w:name="_Toc40186571"/>
      <w:r w:rsidRPr="009E55EB">
        <w:t>Zabezpečovací zařízení</w:t>
      </w:r>
      <w:bookmarkEnd w:id="7"/>
    </w:p>
    <w:p w:rsidR="000F7137" w:rsidRPr="002C1621" w:rsidRDefault="000F7137" w:rsidP="009E55EB">
      <w:pPr>
        <w:rPr>
          <w:b/>
        </w:rPr>
      </w:pPr>
      <w:r w:rsidRPr="002C1621">
        <w:rPr>
          <w:b/>
        </w:rPr>
        <w:t>Žst. Ostrava-Svinov :</w:t>
      </w:r>
    </w:p>
    <w:p w:rsidR="000F7137" w:rsidRPr="009E55EB" w:rsidRDefault="000F7137" w:rsidP="009E55EB">
      <w:r w:rsidRPr="009E55EB">
        <w:t xml:space="preserve">V ŽST Ostrava-Svinov je </w:t>
      </w:r>
      <w:r w:rsidR="002E2FB3" w:rsidRPr="009E55EB">
        <w:t>staniční</w:t>
      </w:r>
      <w:r w:rsidRPr="009E55EB">
        <w:t xml:space="preserve"> </w:t>
      </w:r>
      <w:r w:rsidR="002E2FB3" w:rsidRPr="009E55EB">
        <w:t>zabezpečovací</w:t>
      </w:r>
      <w:r w:rsidRPr="009E55EB">
        <w:t xml:space="preserve"> </w:t>
      </w:r>
      <w:r w:rsidR="002E2FB3" w:rsidRPr="009E55EB">
        <w:t>zařízení</w:t>
      </w:r>
      <w:r w:rsidRPr="009E55EB">
        <w:t xml:space="preserve"> (SZZ) 3. kategorie, typ ESA 11 s</w:t>
      </w:r>
      <w:r w:rsidR="001F6C12">
        <w:t xml:space="preserve"> </w:t>
      </w:r>
      <w:r w:rsidR="002E2FB3" w:rsidRPr="009E55EB">
        <w:t>jednotným</w:t>
      </w:r>
      <w:r w:rsidRPr="009E55EB">
        <w:t xml:space="preserve"> </w:t>
      </w:r>
      <w:r w:rsidR="002E2FB3" w:rsidRPr="009E55EB">
        <w:t>obslužným</w:t>
      </w:r>
      <w:r w:rsidRPr="009E55EB">
        <w:t xml:space="preserve"> pracovištěm (JOP) v </w:t>
      </w:r>
      <w:r w:rsidR="002E2FB3" w:rsidRPr="009E55EB">
        <w:t>dopravní</w:t>
      </w:r>
      <w:r w:rsidRPr="009E55EB">
        <w:t xml:space="preserve"> </w:t>
      </w:r>
      <w:r w:rsidR="002E2FB3" w:rsidRPr="009E55EB">
        <w:t>kanceláři</w:t>
      </w:r>
      <w:r w:rsidRPr="009E55EB">
        <w:t xml:space="preserve"> </w:t>
      </w:r>
      <w:r w:rsidR="002E2FB3" w:rsidRPr="009E55EB">
        <w:t>ústředního</w:t>
      </w:r>
      <w:r w:rsidRPr="009E55EB">
        <w:t xml:space="preserve"> stavědla, </w:t>
      </w:r>
      <w:r w:rsidR="002E2FB3" w:rsidRPr="009E55EB">
        <w:t>které</w:t>
      </w:r>
      <w:r w:rsidRPr="009E55EB">
        <w:t xml:space="preserve"> </w:t>
      </w:r>
      <w:r w:rsidR="002E2FB3" w:rsidRPr="009E55EB">
        <w:t>ovládá</w:t>
      </w:r>
      <w:r w:rsidR="001F6C12">
        <w:t xml:space="preserve"> </w:t>
      </w:r>
      <w:r w:rsidR="002E2FB3" w:rsidRPr="009E55EB">
        <w:t>dispoziční</w:t>
      </w:r>
      <w:r w:rsidRPr="009E55EB">
        <w:t xml:space="preserve"> </w:t>
      </w:r>
      <w:r w:rsidR="002E2FB3" w:rsidRPr="009E55EB">
        <w:t>výpravčí</w:t>
      </w:r>
      <w:r w:rsidRPr="009E55EB">
        <w:t>.</w:t>
      </w:r>
      <w:r w:rsidR="00654914">
        <w:t xml:space="preserve"> Rok výstavby 2002.</w:t>
      </w:r>
    </w:p>
    <w:p w:rsidR="000F7137" w:rsidRPr="009E55EB" w:rsidRDefault="000F7137" w:rsidP="009E55EB">
      <w:r w:rsidRPr="009E55EB">
        <w:t xml:space="preserve">V </w:t>
      </w:r>
      <w:r w:rsidR="002E2FB3" w:rsidRPr="009E55EB">
        <w:t>mezistaničním</w:t>
      </w:r>
      <w:r w:rsidRPr="009E55EB">
        <w:t xml:space="preserve"> </w:t>
      </w:r>
      <w:r w:rsidR="002E2FB3" w:rsidRPr="009E55EB">
        <w:t>úseku</w:t>
      </w:r>
      <w:r w:rsidRPr="009E55EB">
        <w:t xml:space="preserve"> Ostrava-Svinov - Ostrava </w:t>
      </w:r>
      <w:r w:rsidR="000F38E0">
        <w:t>hl.n.</w:t>
      </w:r>
      <w:r w:rsidRPr="009E55EB">
        <w:t xml:space="preserve"> je </w:t>
      </w:r>
      <w:r w:rsidR="002E2FB3" w:rsidRPr="009E55EB">
        <w:t>traťové</w:t>
      </w:r>
      <w:r w:rsidRPr="009E55EB">
        <w:t xml:space="preserve"> </w:t>
      </w:r>
      <w:r w:rsidR="002E2FB3" w:rsidRPr="009E55EB">
        <w:t>zabezpečovací</w:t>
      </w:r>
      <w:r w:rsidRPr="009E55EB">
        <w:t xml:space="preserve"> </w:t>
      </w:r>
      <w:r w:rsidR="002E2FB3" w:rsidRPr="009E55EB">
        <w:t>zařízení</w:t>
      </w:r>
      <w:r w:rsidR="001F6C12">
        <w:t xml:space="preserve"> </w:t>
      </w:r>
      <w:r w:rsidRPr="009E55EB">
        <w:t xml:space="preserve">3. kategorie - </w:t>
      </w:r>
      <w:r w:rsidR="002E2FB3" w:rsidRPr="009E55EB">
        <w:t>trojznakový</w:t>
      </w:r>
      <w:r w:rsidRPr="009E55EB">
        <w:t xml:space="preserve"> </w:t>
      </w:r>
      <w:r w:rsidR="002E2FB3" w:rsidRPr="009E55EB">
        <w:t>obousměrný</w:t>
      </w:r>
      <w:r w:rsidRPr="009E55EB">
        <w:t xml:space="preserve"> elektronicky automaticky blok ABE-1</w:t>
      </w:r>
      <w:r w:rsidR="00805876">
        <w:t>.</w:t>
      </w:r>
      <w:r w:rsidR="00654914" w:rsidRPr="00654914">
        <w:t xml:space="preserve"> </w:t>
      </w:r>
      <w:r w:rsidR="00654914">
        <w:t>Rok výstavby 2003.</w:t>
      </w:r>
    </w:p>
    <w:p w:rsidR="000F7137" w:rsidRPr="009E55EB" w:rsidRDefault="000F7137" w:rsidP="009E55EB">
      <w:r w:rsidRPr="009E55EB">
        <w:t xml:space="preserve">V </w:t>
      </w:r>
      <w:r w:rsidR="002E2FB3" w:rsidRPr="009E55EB">
        <w:t>mezistaničním</w:t>
      </w:r>
      <w:r w:rsidRPr="009E55EB">
        <w:t xml:space="preserve"> </w:t>
      </w:r>
      <w:r w:rsidR="002E2FB3" w:rsidRPr="009E55EB">
        <w:t>úseku</w:t>
      </w:r>
      <w:r w:rsidRPr="009E55EB">
        <w:t xml:space="preserve"> Ostrava-Svinov - Odbočka Odra je </w:t>
      </w:r>
      <w:r w:rsidR="002E2FB3" w:rsidRPr="009E55EB">
        <w:t>traťové</w:t>
      </w:r>
      <w:r w:rsidRPr="009E55EB">
        <w:t xml:space="preserve"> </w:t>
      </w:r>
      <w:r w:rsidR="002E2FB3" w:rsidRPr="009E55EB">
        <w:t>zabezpečovací</w:t>
      </w:r>
      <w:r w:rsidRPr="009E55EB">
        <w:t xml:space="preserve"> </w:t>
      </w:r>
      <w:r w:rsidR="002E2FB3" w:rsidRPr="009E55EB">
        <w:t>zařízení</w:t>
      </w:r>
      <w:r w:rsidR="001F6C12">
        <w:t xml:space="preserve"> </w:t>
      </w:r>
      <w:r w:rsidRPr="009E55EB">
        <w:t xml:space="preserve">3. kategorie - </w:t>
      </w:r>
      <w:r w:rsidR="002E2FB3" w:rsidRPr="009E55EB">
        <w:t>trojznakový</w:t>
      </w:r>
      <w:r w:rsidRPr="009E55EB">
        <w:t xml:space="preserve"> </w:t>
      </w:r>
      <w:r w:rsidR="002E2FB3" w:rsidRPr="009E55EB">
        <w:t>obousměrný</w:t>
      </w:r>
      <w:r w:rsidRPr="009E55EB">
        <w:t xml:space="preserve"> elektronicky automaticky blok ABE-1.</w:t>
      </w:r>
    </w:p>
    <w:p w:rsidR="00795025" w:rsidRPr="002C1621" w:rsidRDefault="00795025" w:rsidP="009E55EB">
      <w:pPr>
        <w:rPr>
          <w:b/>
        </w:rPr>
      </w:pPr>
      <w:r w:rsidRPr="002C1621">
        <w:rPr>
          <w:b/>
        </w:rPr>
        <w:t xml:space="preserve">Žst. Ostrava </w:t>
      </w:r>
      <w:r w:rsidR="000F38E0" w:rsidRPr="002C1621">
        <w:rPr>
          <w:b/>
        </w:rPr>
        <w:t>hl.n.</w:t>
      </w:r>
      <w:r w:rsidR="002E2FB3" w:rsidRPr="002C1621">
        <w:rPr>
          <w:b/>
        </w:rPr>
        <w:t>:</w:t>
      </w:r>
    </w:p>
    <w:p w:rsidR="00795025" w:rsidRPr="009E55EB" w:rsidRDefault="002E2FB3" w:rsidP="009E55EB">
      <w:r w:rsidRPr="009E55EB">
        <w:t>Železniční</w:t>
      </w:r>
      <w:r w:rsidR="00795025" w:rsidRPr="009E55EB">
        <w:t xml:space="preserve"> stanice Ostrava </w:t>
      </w:r>
      <w:r w:rsidR="000F38E0">
        <w:t>hl.n.</w:t>
      </w:r>
      <w:r w:rsidR="00795025" w:rsidRPr="009E55EB">
        <w:t xml:space="preserve"> se členi po </w:t>
      </w:r>
      <w:r w:rsidRPr="009E55EB">
        <w:t>provozní</w:t>
      </w:r>
      <w:r w:rsidR="00795025" w:rsidRPr="009E55EB">
        <w:t xml:space="preserve"> </w:t>
      </w:r>
      <w:r w:rsidRPr="009E55EB">
        <w:t>stránce</w:t>
      </w:r>
      <w:r w:rsidR="00795025" w:rsidRPr="009E55EB">
        <w:t xml:space="preserve"> na :</w:t>
      </w:r>
    </w:p>
    <w:p w:rsidR="00795025" w:rsidRPr="009E55EB" w:rsidRDefault="00795025" w:rsidP="00D62572">
      <w:pPr>
        <w:pStyle w:val="Odstavecseseznamem"/>
        <w:numPr>
          <w:ilvl w:val="0"/>
          <w:numId w:val="35"/>
        </w:numPr>
      </w:pPr>
      <w:r w:rsidRPr="009E55EB">
        <w:t xml:space="preserve">Ostrava hl.n. - </w:t>
      </w:r>
      <w:r w:rsidR="002C1621">
        <w:t>osobní</w:t>
      </w:r>
      <w:r w:rsidRPr="009E55EB">
        <w:t xml:space="preserve"> </w:t>
      </w:r>
      <w:r w:rsidR="002E2FB3" w:rsidRPr="009E55EB">
        <w:t>nádraží</w:t>
      </w:r>
      <w:r w:rsidRPr="009E55EB">
        <w:t xml:space="preserve"> (OH)</w:t>
      </w:r>
    </w:p>
    <w:p w:rsidR="00795025" w:rsidRPr="009E55EB" w:rsidRDefault="00795025" w:rsidP="00D62572">
      <w:pPr>
        <w:pStyle w:val="Odstavecseseznamem"/>
        <w:numPr>
          <w:ilvl w:val="0"/>
          <w:numId w:val="35"/>
        </w:numPr>
      </w:pPr>
      <w:r w:rsidRPr="009E55EB">
        <w:t xml:space="preserve">Ostrava hl.n. - </w:t>
      </w:r>
      <w:r w:rsidR="002E2FB3" w:rsidRPr="009E55EB">
        <w:t>pravé</w:t>
      </w:r>
      <w:r w:rsidRPr="009E55EB">
        <w:t xml:space="preserve"> </w:t>
      </w:r>
      <w:r w:rsidR="002E2FB3" w:rsidRPr="009E55EB">
        <w:t>nádraží</w:t>
      </w:r>
      <w:r w:rsidRPr="009E55EB">
        <w:t xml:space="preserve"> (OP)</w:t>
      </w:r>
    </w:p>
    <w:p w:rsidR="00795025" w:rsidRPr="009E55EB" w:rsidRDefault="00795025" w:rsidP="00D62572">
      <w:pPr>
        <w:pStyle w:val="Odstavecseseznamem"/>
        <w:numPr>
          <w:ilvl w:val="0"/>
          <w:numId w:val="35"/>
        </w:numPr>
      </w:pPr>
      <w:r w:rsidRPr="009E55EB">
        <w:t xml:space="preserve">Ostrava hl.n. - </w:t>
      </w:r>
      <w:r w:rsidR="002E2FB3" w:rsidRPr="009E55EB">
        <w:t>levé</w:t>
      </w:r>
      <w:r w:rsidRPr="009E55EB">
        <w:t xml:space="preserve"> </w:t>
      </w:r>
      <w:r w:rsidR="002E2FB3" w:rsidRPr="009E55EB">
        <w:t>nádraží</w:t>
      </w:r>
      <w:r w:rsidRPr="009E55EB">
        <w:t xml:space="preserve"> (OL)</w:t>
      </w:r>
    </w:p>
    <w:p w:rsidR="00795025" w:rsidRPr="009E55EB" w:rsidRDefault="00795025" w:rsidP="00D62572">
      <w:pPr>
        <w:pStyle w:val="Odstavecseseznamem"/>
        <w:numPr>
          <w:ilvl w:val="0"/>
          <w:numId w:val="35"/>
        </w:numPr>
      </w:pPr>
      <w:r w:rsidRPr="009E55EB">
        <w:t xml:space="preserve">Ostrava hl.n. - </w:t>
      </w:r>
      <w:r w:rsidR="002E2FB3" w:rsidRPr="009E55EB">
        <w:t>baňské</w:t>
      </w:r>
      <w:r w:rsidRPr="009E55EB">
        <w:t xml:space="preserve"> </w:t>
      </w:r>
      <w:r w:rsidR="002E2FB3" w:rsidRPr="009E55EB">
        <w:t>nádraží</w:t>
      </w:r>
      <w:r w:rsidRPr="009E55EB">
        <w:t xml:space="preserve"> (OB)</w:t>
      </w:r>
    </w:p>
    <w:p w:rsidR="00795025" w:rsidRPr="009E55EB" w:rsidRDefault="00795025" w:rsidP="00D62572">
      <w:pPr>
        <w:pStyle w:val="Odstavecseseznamem"/>
        <w:numPr>
          <w:ilvl w:val="0"/>
          <w:numId w:val="35"/>
        </w:numPr>
      </w:pPr>
      <w:r w:rsidRPr="009E55EB">
        <w:t>Ostrava střed (OS)</w:t>
      </w:r>
    </w:p>
    <w:p w:rsidR="00795025" w:rsidRPr="009E55EB" w:rsidRDefault="00795025" w:rsidP="009E55EB">
      <w:r w:rsidRPr="009E55EB">
        <w:t xml:space="preserve">Ostrava </w:t>
      </w:r>
      <w:r w:rsidR="000F38E0">
        <w:t>hl.n.</w:t>
      </w:r>
      <w:r w:rsidRPr="009E55EB">
        <w:t>-</w:t>
      </w:r>
      <w:r w:rsidR="002C1621">
        <w:t>osobní</w:t>
      </w:r>
      <w:r w:rsidRPr="009E55EB">
        <w:t xml:space="preserve"> </w:t>
      </w:r>
      <w:r w:rsidR="002E2FB3" w:rsidRPr="009E55EB">
        <w:t>nádraží:</w:t>
      </w:r>
    </w:p>
    <w:p w:rsidR="001F6C12" w:rsidRDefault="00795025" w:rsidP="009E55EB">
      <w:r w:rsidRPr="009E55EB">
        <w:lastRenderedPageBreak/>
        <w:t xml:space="preserve">Obvod Hrušov je vybaven </w:t>
      </w:r>
      <w:r w:rsidR="002E2FB3" w:rsidRPr="009E55EB">
        <w:t>zabezpečovacím</w:t>
      </w:r>
      <w:r w:rsidRPr="009E55EB">
        <w:t xml:space="preserve"> </w:t>
      </w:r>
      <w:r w:rsidR="002E2FB3" w:rsidRPr="009E55EB">
        <w:t>zařízením</w:t>
      </w:r>
      <w:r w:rsidRPr="009E55EB">
        <w:t xml:space="preserve"> 3. kategorie typu ESA 11</w:t>
      </w:r>
      <w:r w:rsidR="001F6C12">
        <w:t xml:space="preserve"> </w:t>
      </w:r>
      <w:r w:rsidRPr="009E55EB">
        <w:t xml:space="preserve">s </w:t>
      </w:r>
      <w:r w:rsidR="002E2FB3" w:rsidRPr="009E55EB">
        <w:t>jednotným</w:t>
      </w:r>
      <w:r w:rsidRPr="009E55EB">
        <w:t xml:space="preserve"> </w:t>
      </w:r>
      <w:r w:rsidR="002E2FB3" w:rsidRPr="009E55EB">
        <w:t>obslužným</w:t>
      </w:r>
      <w:r w:rsidRPr="009E55EB">
        <w:t xml:space="preserve"> pracovištěm (JOP) </w:t>
      </w:r>
      <w:r w:rsidR="002E2FB3" w:rsidRPr="009E55EB">
        <w:t>umístěným</w:t>
      </w:r>
      <w:r w:rsidRPr="009E55EB">
        <w:t xml:space="preserve"> v </w:t>
      </w:r>
      <w:r w:rsidR="002E2FB3" w:rsidRPr="009E55EB">
        <w:t>dopravní</w:t>
      </w:r>
      <w:r w:rsidRPr="009E55EB">
        <w:t xml:space="preserve"> </w:t>
      </w:r>
      <w:r w:rsidR="002E2FB3" w:rsidRPr="009E55EB">
        <w:t>kanceláři</w:t>
      </w:r>
      <w:r w:rsidRPr="009E55EB">
        <w:t xml:space="preserve"> na </w:t>
      </w:r>
      <w:r w:rsidR="002E2FB3" w:rsidRPr="009E55EB">
        <w:t>řídicím</w:t>
      </w:r>
      <w:r w:rsidRPr="009E55EB">
        <w:t xml:space="preserve"> stavědle</w:t>
      </w:r>
      <w:r w:rsidR="00EA7F17">
        <w:t>. Rok výstavby 2004.</w:t>
      </w:r>
    </w:p>
    <w:p w:rsidR="00795025" w:rsidRPr="009E55EB" w:rsidRDefault="00795025" w:rsidP="009E55EB">
      <w:r w:rsidRPr="009E55EB">
        <w:t xml:space="preserve">ŽST Ostrava </w:t>
      </w:r>
      <w:r w:rsidR="000F38E0">
        <w:t>hl.n.</w:t>
      </w:r>
    </w:p>
    <w:p w:rsidR="00795025" w:rsidRPr="009E55EB" w:rsidRDefault="002C1621" w:rsidP="009E55EB">
      <w:r>
        <w:t>Osobní</w:t>
      </w:r>
      <w:r w:rsidR="00795025" w:rsidRPr="009E55EB">
        <w:t xml:space="preserve"> </w:t>
      </w:r>
      <w:r w:rsidR="002E2FB3" w:rsidRPr="009E55EB">
        <w:t>nádraží</w:t>
      </w:r>
      <w:r w:rsidR="00795025" w:rsidRPr="009E55EB">
        <w:t xml:space="preserve"> je mimo obvody stanovišť a stavědel St.II OH, St.3 OH, St.4 OH, St.IX</w:t>
      </w:r>
      <w:r w:rsidR="001F6C12">
        <w:t xml:space="preserve"> </w:t>
      </w:r>
      <w:r w:rsidR="00795025" w:rsidRPr="009E55EB">
        <w:t xml:space="preserve">OH vybaveno </w:t>
      </w:r>
      <w:r w:rsidR="002E2FB3" w:rsidRPr="009E55EB">
        <w:t>reléovým</w:t>
      </w:r>
      <w:r w:rsidR="00795025" w:rsidRPr="009E55EB">
        <w:t xml:space="preserve"> </w:t>
      </w:r>
      <w:r w:rsidR="002E2FB3" w:rsidRPr="009E55EB">
        <w:t>zabezpečovacím</w:t>
      </w:r>
      <w:r w:rsidR="00795025" w:rsidRPr="009E55EB">
        <w:t xml:space="preserve"> </w:t>
      </w:r>
      <w:r w:rsidR="002E2FB3" w:rsidRPr="009E55EB">
        <w:t>zařízením</w:t>
      </w:r>
      <w:r w:rsidR="00795025" w:rsidRPr="009E55EB">
        <w:t xml:space="preserve"> 3. kategorie (RZZ) s </w:t>
      </w:r>
      <w:r w:rsidR="002E2FB3" w:rsidRPr="009E55EB">
        <w:t>číslicovou</w:t>
      </w:r>
      <w:r w:rsidR="00795025" w:rsidRPr="009E55EB">
        <w:t xml:space="preserve"> volbou. </w:t>
      </w:r>
      <w:r w:rsidR="00EA7F17">
        <w:t xml:space="preserve">Rok výstavby 1994. </w:t>
      </w:r>
      <w:r w:rsidR="00795025" w:rsidRPr="009E55EB">
        <w:t>Na</w:t>
      </w:r>
      <w:r w:rsidR="001F6C12">
        <w:t xml:space="preserve"> </w:t>
      </w:r>
      <w:r w:rsidR="00795025" w:rsidRPr="009E55EB">
        <w:t xml:space="preserve">toto </w:t>
      </w:r>
      <w:r w:rsidR="002E2FB3" w:rsidRPr="009E55EB">
        <w:t>zařízení</w:t>
      </w:r>
      <w:r w:rsidR="00795025" w:rsidRPr="009E55EB">
        <w:t xml:space="preserve"> navazuj</w:t>
      </w:r>
      <w:r w:rsidR="00805876">
        <w:t>í</w:t>
      </w:r>
      <w:r w:rsidR="00795025" w:rsidRPr="009E55EB">
        <w:t xml:space="preserve"> </w:t>
      </w:r>
      <w:r w:rsidR="002E2FB3" w:rsidRPr="009E55EB">
        <w:t>zabezpečovací</w:t>
      </w:r>
      <w:r w:rsidR="00795025" w:rsidRPr="009E55EB">
        <w:t xml:space="preserve"> </w:t>
      </w:r>
      <w:r w:rsidR="002E2FB3" w:rsidRPr="009E55EB">
        <w:t>zařízení</w:t>
      </w:r>
      <w:r w:rsidR="00795025" w:rsidRPr="009E55EB">
        <w:t xml:space="preserve"> </w:t>
      </w:r>
      <w:r w:rsidR="002E2FB3" w:rsidRPr="009E55EB">
        <w:t>stejné</w:t>
      </w:r>
      <w:r w:rsidR="00795025" w:rsidRPr="009E55EB">
        <w:t xml:space="preserve"> kategorie na </w:t>
      </w:r>
      <w:r w:rsidR="002E2FB3" w:rsidRPr="009E55EB">
        <w:t>pravém</w:t>
      </w:r>
      <w:r w:rsidR="00795025" w:rsidRPr="009E55EB">
        <w:t xml:space="preserve"> a </w:t>
      </w:r>
      <w:r w:rsidR="002E2FB3" w:rsidRPr="009E55EB">
        <w:t>levém</w:t>
      </w:r>
      <w:r w:rsidR="00795025" w:rsidRPr="009E55EB">
        <w:t xml:space="preserve"> </w:t>
      </w:r>
      <w:r w:rsidR="002E2FB3" w:rsidRPr="009E55EB">
        <w:t>nádraží</w:t>
      </w:r>
      <w:r w:rsidR="00795025" w:rsidRPr="009E55EB">
        <w:t xml:space="preserve"> a</w:t>
      </w:r>
      <w:r w:rsidR="001F6C12">
        <w:t xml:space="preserve"> </w:t>
      </w:r>
      <w:r w:rsidR="00795025" w:rsidRPr="009E55EB">
        <w:t xml:space="preserve">v </w:t>
      </w:r>
      <w:r w:rsidR="002E2FB3" w:rsidRPr="009E55EB">
        <w:t>hlavních</w:t>
      </w:r>
      <w:r w:rsidR="00795025" w:rsidRPr="009E55EB">
        <w:t xml:space="preserve"> </w:t>
      </w:r>
      <w:r w:rsidR="002E2FB3" w:rsidRPr="009E55EB">
        <w:t>staničních</w:t>
      </w:r>
      <w:r w:rsidR="00795025" w:rsidRPr="009E55EB">
        <w:t xml:space="preserve"> </w:t>
      </w:r>
      <w:r w:rsidR="002E2FB3" w:rsidRPr="009E55EB">
        <w:t>kolejích</w:t>
      </w:r>
      <w:r w:rsidR="00795025" w:rsidRPr="009E55EB">
        <w:t xml:space="preserve"> 101, 101a, 102, 102a. Na </w:t>
      </w:r>
      <w:r w:rsidR="002E2FB3" w:rsidRPr="009E55EB">
        <w:t>zabezpečovací</w:t>
      </w:r>
      <w:r w:rsidR="00795025" w:rsidRPr="009E55EB">
        <w:t xml:space="preserve"> </w:t>
      </w:r>
      <w:r w:rsidR="002E2FB3" w:rsidRPr="009E55EB">
        <w:t>zařízení</w:t>
      </w:r>
      <w:r w:rsidR="00795025" w:rsidRPr="009E55EB">
        <w:t xml:space="preserve"> </w:t>
      </w:r>
      <w:r w:rsidR="002E2FB3" w:rsidRPr="009E55EB">
        <w:t>osobního</w:t>
      </w:r>
      <w:r w:rsidR="00795025" w:rsidRPr="009E55EB">
        <w:t xml:space="preserve"> </w:t>
      </w:r>
      <w:r w:rsidR="002E2FB3" w:rsidRPr="009E55EB">
        <w:t>nádraží</w:t>
      </w:r>
      <w:r w:rsidR="001F6C12">
        <w:t xml:space="preserve"> </w:t>
      </w:r>
      <w:r w:rsidR="00795025" w:rsidRPr="009E55EB">
        <w:t xml:space="preserve">navazuje z </w:t>
      </w:r>
      <w:r w:rsidR="002E2FB3" w:rsidRPr="009E55EB">
        <w:t>báňského</w:t>
      </w:r>
      <w:r w:rsidR="00795025" w:rsidRPr="009E55EB">
        <w:t xml:space="preserve"> </w:t>
      </w:r>
      <w:r w:rsidR="002E2FB3" w:rsidRPr="009E55EB">
        <w:t>nádraží</w:t>
      </w:r>
      <w:r w:rsidR="00795025" w:rsidRPr="009E55EB">
        <w:t xml:space="preserve"> </w:t>
      </w:r>
      <w:r w:rsidR="002E2FB3" w:rsidRPr="009E55EB">
        <w:t>staniční</w:t>
      </w:r>
      <w:r w:rsidR="00795025" w:rsidRPr="009E55EB">
        <w:t xml:space="preserve"> </w:t>
      </w:r>
      <w:r w:rsidR="002E2FB3" w:rsidRPr="009E55EB">
        <w:t>zabezpečovací</w:t>
      </w:r>
      <w:r w:rsidR="00795025" w:rsidRPr="009E55EB">
        <w:t xml:space="preserve"> </w:t>
      </w:r>
      <w:r w:rsidR="002E2FB3" w:rsidRPr="009E55EB">
        <w:t>zařízení</w:t>
      </w:r>
      <w:r w:rsidR="00795025" w:rsidRPr="009E55EB">
        <w:t xml:space="preserve"> 3. kategorie typu ESA 11</w:t>
      </w:r>
      <w:r w:rsidR="001F6C12">
        <w:t xml:space="preserve"> </w:t>
      </w:r>
      <w:r w:rsidR="00795025" w:rsidRPr="009E55EB">
        <w:t xml:space="preserve">s </w:t>
      </w:r>
      <w:r w:rsidR="002E2FB3" w:rsidRPr="009E55EB">
        <w:t>jednotným</w:t>
      </w:r>
      <w:r w:rsidR="00795025" w:rsidRPr="009E55EB">
        <w:t xml:space="preserve"> </w:t>
      </w:r>
      <w:r w:rsidR="002E2FB3" w:rsidRPr="009E55EB">
        <w:t>obslužným</w:t>
      </w:r>
      <w:r w:rsidR="00795025" w:rsidRPr="009E55EB">
        <w:t xml:space="preserve"> pracovištěm (JOP) </w:t>
      </w:r>
      <w:r w:rsidR="002E2FB3" w:rsidRPr="009E55EB">
        <w:t>umístěným</w:t>
      </w:r>
      <w:r w:rsidR="00795025" w:rsidRPr="009E55EB">
        <w:t xml:space="preserve"> v </w:t>
      </w:r>
      <w:r w:rsidR="002E2FB3" w:rsidRPr="009E55EB">
        <w:t>dopravní</w:t>
      </w:r>
      <w:r w:rsidR="00795025" w:rsidRPr="009E55EB">
        <w:t xml:space="preserve"> </w:t>
      </w:r>
      <w:r w:rsidR="002E2FB3" w:rsidRPr="009E55EB">
        <w:t>kanceláři</w:t>
      </w:r>
      <w:r w:rsidR="00795025" w:rsidRPr="009E55EB">
        <w:t xml:space="preserve"> </w:t>
      </w:r>
      <w:r w:rsidR="002E2FB3" w:rsidRPr="009E55EB">
        <w:t>výpravčího</w:t>
      </w:r>
      <w:r w:rsidR="00805876">
        <w:t>.</w:t>
      </w:r>
    </w:p>
    <w:p w:rsidR="00795025" w:rsidRPr="009E55EB" w:rsidRDefault="00795025" w:rsidP="009E55EB">
      <w:r w:rsidRPr="009E55EB">
        <w:t xml:space="preserve">V </w:t>
      </w:r>
      <w:r w:rsidR="002E2FB3" w:rsidRPr="009E55EB">
        <w:t>mezistaničním</w:t>
      </w:r>
      <w:r w:rsidRPr="009E55EB">
        <w:t xml:space="preserve"> </w:t>
      </w:r>
      <w:r w:rsidR="002E2FB3" w:rsidRPr="009E55EB">
        <w:t>úseku</w:t>
      </w:r>
      <w:r w:rsidRPr="009E55EB">
        <w:t xml:space="preserve"> </w:t>
      </w:r>
      <w:r w:rsidR="002E2FB3" w:rsidRPr="009E55EB">
        <w:t>Bohumín</w:t>
      </w:r>
      <w:r w:rsidRPr="009E55EB">
        <w:t xml:space="preserve"> - Ostrava </w:t>
      </w:r>
      <w:r w:rsidR="000F38E0">
        <w:t>hl.n.</w:t>
      </w:r>
      <w:r w:rsidRPr="009E55EB">
        <w:t xml:space="preserve"> je </w:t>
      </w:r>
      <w:r w:rsidR="002E2FB3" w:rsidRPr="009E55EB">
        <w:t>vybudováno</w:t>
      </w:r>
      <w:r w:rsidRPr="009E55EB">
        <w:t xml:space="preserve"> </w:t>
      </w:r>
      <w:r w:rsidR="002E2FB3" w:rsidRPr="009E55EB">
        <w:t>traťové</w:t>
      </w:r>
      <w:r w:rsidRPr="009E55EB">
        <w:t xml:space="preserve"> </w:t>
      </w:r>
      <w:r w:rsidR="002E2FB3" w:rsidRPr="009E55EB">
        <w:t>zabezpečovací</w:t>
      </w:r>
      <w:r w:rsidR="001F6C12">
        <w:t xml:space="preserve"> </w:t>
      </w:r>
      <w:r w:rsidR="002E2FB3" w:rsidRPr="009E55EB">
        <w:t>zařízení 3. kategorie</w:t>
      </w:r>
      <w:r w:rsidRPr="009E55EB">
        <w:t xml:space="preserve"> – elektronicky autoblok ABE-1, </w:t>
      </w:r>
      <w:r w:rsidR="002E2FB3" w:rsidRPr="009E55EB">
        <w:t>trojznakový</w:t>
      </w:r>
      <w:r w:rsidRPr="009E55EB">
        <w:t xml:space="preserve"> </w:t>
      </w:r>
      <w:r w:rsidR="002E2FB3" w:rsidRPr="009E55EB">
        <w:t>obousměrný</w:t>
      </w:r>
      <w:r w:rsidRPr="009E55EB">
        <w:t xml:space="preserve"> automaticky blok. V</w:t>
      </w:r>
      <w:r w:rsidR="001F6C12">
        <w:t xml:space="preserve"> </w:t>
      </w:r>
      <w:r w:rsidR="002E2FB3" w:rsidRPr="009E55EB">
        <w:t>mezistaničním</w:t>
      </w:r>
      <w:r w:rsidRPr="009E55EB">
        <w:t xml:space="preserve"> </w:t>
      </w:r>
      <w:r w:rsidR="002E2FB3" w:rsidRPr="009E55EB">
        <w:t>úseku</w:t>
      </w:r>
      <w:r w:rsidRPr="009E55EB">
        <w:t xml:space="preserve"> Ostrava hl.n. - Ostrava Svinov je </w:t>
      </w:r>
      <w:r w:rsidR="002E2FB3" w:rsidRPr="009E55EB">
        <w:t>vybudováno</w:t>
      </w:r>
      <w:r w:rsidRPr="009E55EB">
        <w:t xml:space="preserve"> </w:t>
      </w:r>
      <w:r w:rsidR="002E2FB3" w:rsidRPr="009E55EB">
        <w:t>traťové</w:t>
      </w:r>
      <w:r w:rsidRPr="009E55EB">
        <w:t xml:space="preserve"> </w:t>
      </w:r>
      <w:r w:rsidR="002E2FB3" w:rsidRPr="009E55EB">
        <w:t>zabezpečovací</w:t>
      </w:r>
      <w:r w:rsidR="001F6C12">
        <w:t xml:space="preserve"> </w:t>
      </w:r>
      <w:r w:rsidR="002E2FB3" w:rsidRPr="009E55EB">
        <w:t>zařízení</w:t>
      </w:r>
      <w:r w:rsidRPr="009E55EB">
        <w:t xml:space="preserve"> 3. kategorie – </w:t>
      </w:r>
      <w:r w:rsidR="002E2FB3" w:rsidRPr="009E55EB">
        <w:t>trojznakový</w:t>
      </w:r>
      <w:r w:rsidRPr="009E55EB">
        <w:t xml:space="preserve"> </w:t>
      </w:r>
      <w:r w:rsidR="002E2FB3" w:rsidRPr="009E55EB">
        <w:t>obousměrný</w:t>
      </w:r>
      <w:r w:rsidRPr="009E55EB">
        <w:t xml:space="preserve"> elektronicky blok ABE-1.</w:t>
      </w:r>
      <w:r w:rsidR="00EA7F17">
        <w:t xml:space="preserve"> Rok výstavby 2004.</w:t>
      </w:r>
    </w:p>
    <w:p w:rsidR="00795025" w:rsidRPr="009E55EB" w:rsidRDefault="002E2FB3" w:rsidP="009E55EB">
      <w:r w:rsidRPr="009E55EB">
        <w:t>Spádoviště:</w:t>
      </w:r>
    </w:p>
    <w:p w:rsidR="001F6C12" w:rsidRDefault="00795025" w:rsidP="001F6C12">
      <w:r w:rsidRPr="009E55EB">
        <w:t xml:space="preserve">Spádoviště levého nádraží je vybaveno </w:t>
      </w:r>
      <w:r w:rsidR="002E2FB3" w:rsidRPr="009E55EB">
        <w:t>spádovištním</w:t>
      </w:r>
      <w:r w:rsidRPr="009E55EB">
        <w:t xml:space="preserve"> </w:t>
      </w:r>
      <w:r w:rsidR="002E2FB3" w:rsidRPr="009E55EB">
        <w:t>zabezpečovacím</w:t>
      </w:r>
      <w:r w:rsidRPr="009E55EB">
        <w:t xml:space="preserve"> </w:t>
      </w:r>
      <w:r w:rsidR="002E2FB3" w:rsidRPr="009E55EB">
        <w:t>zařízením</w:t>
      </w:r>
      <w:r w:rsidR="001F6C12">
        <w:t xml:space="preserve"> </w:t>
      </w:r>
      <w:r w:rsidRPr="009E55EB">
        <w:t xml:space="preserve">„KOMPAS 3“. </w:t>
      </w:r>
      <w:r w:rsidR="002E2FB3" w:rsidRPr="009E55EB">
        <w:t>Výhybky</w:t>
      </w:r>
      <w:r w:rsidRPr="009E55EB">
        <w:t xml:space="preserve"> pod </w:t>
      </w:r>
      <w:r w:rsidR="002E2FB3" w:rsidRPr="009E55EB">
        <w:t>sv</w:t>
      </w:r>
      <w:r w:rsidR="002E2FB3">
        <w:t>á</w:t>
      </w:r>
      <w:r w:rsidR="002E2FB3" w:rsidRPr="009E55EB">
        <w:t>žným</w:t>
      </w:r>
      <w:r w:rsidRPr="009E55EB">
        <w:t xml:space="preserve"> pahrbkem jsou </w:t>
      </w:r>
      <w:r w:rsidR="002E2FB3" w:rsidRPr="009E55EB">
        <w:t>obsluhovány</w:t>
      </w:r>
      <w:r w:rsidRPr="009E55EB">
        <w:t xml:space="preserve"> automaticky </w:t>
      </w:r>
      <w:r w:rsidR="002E2FB3" w:rsidRPr="009E55EB">
        <w:t>tímto</w:t>
      </w:r>
      <w:r w:rsidRPr="009E55EB">
        <w:t xml:space="preserve"> </w:t>
      </w:r>
      <w:r w:rsidR="002E2FB3" w:rsidRPr="009E55EB">
        <w:t>zařízením</w:t>
      </w:r>
      <w:r w:rsidRPr="009E55EB">
        <w:t>.</w:t>
      </w:r>
      <w:r w:rsidR="001F6C12">
        <w:t xml:space="preserve"> </w:t>
      </w:r>
      <w:r w:rsidR="002E2FB3" w:rsidRPr="009E55EB">
        <w:t>Výhybky</w:t>
      </w:r>
      <w:r w:rsidRPr="009E55EB">
        <w:t xml:space="preserve"> jsou vybaveny </w:t>
      </w:r>
      <w:r w:rsidR="002E2FB3" w:rsidRPr="009E55EB">
        <w:t>plynovým</w:t>
      </w:r>
      <w:r w:rsidRPr="009E55EB">
        <w:t xml:space="preserve"> ohřevem </w:t>
      </w:r>
      <w:r w:rsidR="002E2FB3" w:rsidRPr="009E55EB">
        <w:t>výhybek</w:t>
      </w:r>
      <w:r w:rsidRPr="009E55EB">
        <w:t xml:space="preserve">. K regulaci rychlosti </w:t>
      </w:r>
      <w:r w:rsidR="002E2FB3" w:rsidRPr="009E55EB">
        <w:t>spouštěných</w:t>
      </w:r>
      <w:r w:rsidR="001F6C12">
        <w:t xml:space="preserve"> </w:t>
      </w:r>
      <w:r w:rsidRPr="009E55EB">
        <w:t xml:space="preserve">vozidel jsou pod </w:t>
      </w:r>
      <w:r w:rsidR="002E2FB3" w:rsidRPr="009E55EB">
        <w:t>svažným</w:t>
      </w:r>
      <w:r w:rsidRPr="009E55EB">
        <w:t xml:space="preserve"> pahrbkem vloženy tři svazky </w:t>
      </w:r>
      <w:r w:rsidR="002E2FB3" w:rsidRPr="009E55EB">
        <w:t>elektropneumatických</w:t>
      </w:r>
      <w:r w:rsidRPr="009E55EB">
        <w:t xml:space="preserve"> brzd. </w:t>
      </w:r>
    </w:p>
    <w:p w:rsidR="00795025" w:rsidRPr="009E55EB" w:rsidRDefault="00795025" w:rsidP="009E55EB">
      <w:r w:rsidRPr="009E55EB">
        <w:t xml:space="preserve">Spádoviště pravého nádraží ŽST Ostrava </w:t>
      </w:r>
      <w:r w:rsidR="000F38E0">
        <w:t>hl.n.</w:t>
      </w:r>
      <w:r w:rsidRPr="009E55EB">
        <w:t xml:space="preserve"> je </w:t>
      </w:r>
      <w:r w:rsidR="002E2FB3" w:rsidRPr="009E55EB">
        <w:t>umístěno</w:t>
      </w:r>
      <w:r w:rsidRPr="009E55EB">
        <w:t xml:space="preserve"> po </w:t>
      </w:r>
      <w:r w:rsidR="002E2FB3" w:rsidRPr="009E55EB">
        <w:t>pravé</w:t>
      </w:r>
      <w:r w:rsidRPr="009E55EB">
        <w:t xml:space="preserve"> straně </w:t>
      </w:r>
      <w:r w:rsidR="002E2FB3" w:rsidRPr="009E55EB">
        <w:t>hlavních</w:t>
      </w:r>
      <w:r w:rsidR="001F6C12">
        <w:t xml:space="preserve"> </w:t>
      </w:r>
      <w:r w:rsidRPr="009E55EB">
        <w:t xml:space="preserve">koleji mezi </w:t>
      </w:r>
      <w:r w:rsidR="002E2FB3" w:rsidRPr="009E55EB">
        <w:t>vjezdovým</w:t>
      </w:r>
      <w:r w:rsidRPr="009E55EB">
        <w:t xml:space="preserve"> kolejištěm OMH a </w:t>
      </w:r>
      <w:r w:rsidR="002E2FB3" w:rsidRPr="009E55EB">
        <w:t>směrovým</w:t>
      </w:r>
      <w:r w:rsidRPr="009E55EB">
        <w:t xml:space="preserve"> kolejištěm </w:t>
      </w:r>
      <w:r w:rsidR="002E2FB3" w:rsidRPr="009E55EB">
        <w:t>pravého</w:t>
      </w:r>
      <w:r w:rsidRPr="009E55EB">
        <w:t xml:space="preserve"> </w:t>
      </w:r>
      <w:r w:rsidR="002E2FB3" w:rsidRPr="009E55EB">
        <w:t>nádraží</w:t>
      </w:r>
      <w:r w:rsidRPr="009E55EB">
        <w:t xml:space="preserve"> (ve směru od</w:t>
      </w:r>
      <w:r w:rsidR="001F6C12">
        <w:t xml:space="preserve"> </w:t>
      </w:r>
      <w:r w:rsidR="002E2FB3" w:rsidRPr="009E55EB">
        <w:t>začátku</w:t>
      </w:r>
      <w:r w:rsidRPr="009E55EB">
        <w:t xml:space="preserve"> ke konci trati). </w:t>
      </w:r>
      <w:r w:rsidR="002E2FB3" w:rsidRPr="009E55EB">
        <w:t>Má</w:t>
      </w:r>
      <w:r w:rsidRPr="009E55EB">
        <w:t xml:space="preserve"> jeden </w:t>
      </w:r>
      <w:r w:rsidR="002E2FB3" w:rsidRPr="009E55EB">
        <w:t>svážný</w:t>
      </w:r>
      <w:r w:rsidRPr="009E55EB">
        <w:t xml:space="preserve"> pahrbek s jednou </w:t>
      </w:r>
      <w:r w:rsidR="002E2FB3" w:rsidRPr="009E55EB">
        <w:t>přísunovou</w:t>
      </w:r>
      <w:r w:rsidRPr="009E55EB">
        <w:t xml:space="preserve"> koleji. </w:t>
      </w:r>
      <w:r w:rsidR="002E2FB3" w:rsidRPr="009E55EB">
        <w:t>Výhybky</w:t>
      </w:r>
      <w:r w:rsidRPr="009E55EB">
        <w:t xml:space="preserve"> v</w:t>
      </w:r>
      <w:r w:rsidR="001F6C12">
        <w:t xml:space="preserve"> </w:t>
      </w:r>
      <w:r w:rsidR="002E2FB3" w:rsidRPr="009E55EB">
        <w:t>přísunové</w:t>
      </w:r>
      <w:r w:rsidRPr="009E55EB">
        <w:t xml:space="preserve"> cestě na </w:t>
      </w:r>
      <w:r w:rsidR="002E2FB3" w:rsidRPr="009E55EB">
        <w:t>svážný</w:t>
      </w:r>
      <w:r w:rsidRPr="009E55EB">
        <w:t xml:space="preserve"> pahrbek jsou stavěny </w:t>
      </w:r>
      <w:r w:rsidR="002E2FB3" w:rsidRPr="009E55EB">
        <w:t>ústředně</w:t>
      </w:r>
      <w:r w:rsidRPr="009E55EB">
        <w:t xml:space="preserve"> </w:t>
      </w:r>
      <w:r w:rsidR="002E2FB3" w:rsidRPr="009E55EB">
        <w:t>výpravčím</w:t>
      </w:r>
      <w:r w:rsidRPr="009E55EB">
        <w:t xml:space="preserve"> ŘS-OP. </w:t>
      </w:r>
      <w:r w:rsidR="002E2FB3" w:rsidRPr="009E55EB">
        <w:t>Výhybky</w:t>
      </w:r>
      <w:r w:rsidRPr="009E55EB">
        <w:t xml:space="preserve"> pod</w:t>
      </w:r>
      <w:r w:rsidR="001F6C12">
        <w:t xml:space="preserve"> </w:t>
      </w:r>
      <w:r w:rsidR="002E2FB3" w:rsidRPr="009E55EB">
        <w:t>svažným</w:t>
      </w:r>
      <w:r w:rsidRPr="009E55EB">
        <w:t xml:space="preserve"> pahrbkem jsou </w:t>
      </w:r>
      <w:r w:rsidR="002E2FB3" w:rsidRPr="009E55EB">
        <w:t>obsluhovány</w:t>
      </w:r>
      <w:r w:rsidRPr="009E55EB">
        <w:t xml:space="preserve"> </w:t>
      </w:r>
      <w:r w:rsidR="002E2FB3" w:rsidRPr="009E55EB">
        <w:t>ústředně</w:t>
      </w:r>
      <w:r w:rsidRPr="009E55EB">
        <w:t xml:space="preserve"> z </w:t>
      </w:r>
      <w:r w:rsidR="002E2FB3" w:rsidRPr="009E55EB">
        <w:t>ovládacího</w:t>
      </w:r>
      <w:r w:rsidRPr="009E55EB">
        <w:t xml:space="preserve"> pultu </w:t>
      </w:r>
      <w:r w:rsidR="002E2FB3" w:rsidRPr="009E55EB">
        <w:t>spádovištního</w:t>
      </w:r>
      <w:r w:rsidRPr="009E55EB">
        <w:t xml:space="preserve"> stavědla St 2</w:t>
      </w:r>
      <w:r w:rsidR="001F6C12">
        <w:t xml:space="preserve"> </w:t>
      </w:r>
      <w:r w:rsidRPr="009E55EB">
        <w:t xml:space="preserve">OP signalisty St 2 OP. Obsluha </w:t>
      </w:r>
      <w:r w:rsidR="002E2FB3" w:rsidRPr="009E55EB">
        <w:t>výhybek</w:t>
      </w:r>
      <w:r w:rsidRPr="009E55EB">
        <w:t xml:space="preserve"> pod </w:t>
      </w:r>
      <w:r w:rsidR="002E2FB3" w:rsidRPr="009E55EB">
        <w:t>svažným</w:t>
      </w:r>
      <w:r w:rsidRPr="009E55EB">
        <w:t xml:space="preserve"> pahrbkem je </w:t>
      </w:r>
      <w:r w:rsidR="002E2FB3" w:rsidRPr="009E55EB">
        <w:t>prováděna</w:t>
      </w:r>
      <w:r w:rsidRPr="009E55EB">
        <w:t xml:space="preserve"> elektricky pomoci</w:t>
      </w:r>
      <w:r w:rsidR="001F6C12">
        <w:t xml:space="preserve"> </w:t>
      </w:r>
      <w:r w:rsidR="002E2FB3" w:rsidRPr="009E55EB">
        <w:t>dvoupolohových</w:t>
      </w:r>
      <w:r w:rsidRPr="009E55EB">
        <w:t xml:space="preserve"> </w:t>
      </w:r>
      <w:r w:rsidR="002E2FB3" w:rsidRPr="009E55EB">
        <w:t>výměnových</w:t>
      </w:r>
      <w:r w:rsidRPr="009E55EB">
        <w:t xml:space="preserve"> řadičů </w:t>
      </w:r>
      <w:r w:rsidR="002E2FB3" w:rsidRPr="009E55EB">
        <w:t>umístěných</w:t>
      </w:r>
      <w:r w:rsidRPr="009E55EB">
        <w:t xml:space="preserve"> na </w:t>
      </w:r>
      <w:r w:rsidR="002E2FB3" w:rsidRPr="009E55EB">
        <w:t>manipulačním</w:t>
      </w:r>
      <w:r w:rsidRPr="009E55EB">
        <w:t xml:space="preserve"> pultu se </w:t>
      </w:r>
      <w:r w:rsidR="002E2FB3" w:rsidRPr="009E55EB">
        <w:t>světelným</w:t>
      </w:r>
      <w:r w:rsidRPr="009E55EB">
        <w:t xml:space="preserve"> </w:t>
      </w:r>
      <w:r w:rsidR="002E2FB3" w:rsidRPr="009E55EB">
        <w:t>kolejovým</w:t>
      </w:r>
      <w:r w:rsidR="001F6C12">
        <w:t xml:space="preserve"> </w:t>
      </w:r>
      <w:r w:rsidR="002E2FB3" w:rsidRPr="009E55EB">
        <w:t>reliéfem</w:t>
      </w:r>
      <w:r w:rsidRPr="009E55EB">
        <w:t xml:space="preserve"> na stavědle St 2 OP. </w:t>
      </w:r>
      <w:r w:rsidR="002E2FB3" w:rsidRPr="009E55EB">
        <w:t>Výhybky</w:t>
      </w:r>
      <w:r w:rsidRPr="009E55EB">
        <w:t xml:space="preserve"> jsou vybaveny </w:t>
      </w:r>
      <w:r w:rsidR="002E2FB3" w:rsidRPr="009E55EB">
        <w:t>elektrickým</w:t>
      </w:r>
      <w:r w:rsidRPr="009E55EB">
        <w:t xml:space="preserve"> ohřevem </w:t>
      </w:r>
      <w:r w:rsidR="002E2FB3" w:rsidRPr="009E55EB">
        <w:t>výhybek</w:t>
      </w:r>
      <w:r w:rsidRPr="009E55EB">
        <w:t>. Kolejiště</w:t>
      </w:r>
      <w:r w:rsidR="001F6C12">
        <w:t xml:space="preserve"> </w:t>
      </w:r>
      <w:r w:rsidRPr="009E55EB">
        <w:t xml:space="preserve">na </w:t>
      </w:r>
      <w:r w:rsidR="002E2FB3" w:rsidRPr="009E55EB">
        <w:t>spádovišti</w:t>
      </w:r>
      <w:r w:rsidRPr="009E55EB">
        <w:t xml:space="preserve"> a </w:t>
      </w:r>
      <w:r w:rsidR="002E2FB3" w:rsidRPr="009E55EB">
        <w:t>směrové</w:t>
      </w:r>
      <w:r w:rsidRPr="009E55EB">
        <w:t xml:space="preserve"> kolejiště jsou vybaveny </w:t>
      </w:r>
      <w:r w:rsidR="002E2FB3" w:rsidRPr="009E55EB">
        <w:t>světelnými</w:t>
      </w:r>
      <w:r w:rsidRPr="009E55EB">
        <w:t xml:space="preserve"> </w:t>
      </w:r>
      <w:r w:rsidR="00C25F54" w:rsidRPr="009E55EB">
        <w:t>seřaďovacími</w:t>
      </w:r>
      <w:r w:rsidRPr="009E55EB">
        <w:t xml:space="preserve"> </w:t>
      </w:r>
      <w:r w:rsidR="00C25F54" w:rsidRPr="009E55EB">
        <w:t>návěstidly</w:t>
      </w:r>
      <w:r w:rsidRPr="009E55EB">
        <w:t>. K</w:t>
      </w:r>
      <w:r w:rsidR="001F6C12">
        <w:t> </w:t>
      </w:r>
      <w:r w:rsidRPr="009E55EB">
        <w:t>regulaci</w:t>
      </w:r>
      <w:r w:rsidR="001F6C12">
        <w:t xml:space="preserve"> </w:t>
      </w:r>
      <w:r w:rsidRPr="009E55EB">
        <w:t xml:space="preserve">rychlosti </w:t>
      </w:r>
      <w:r w:rsidR="00C25F54" w:rsidRPr="009E55EB">
        <w:t>spouštěných</w:t>
      </w:r>
      <w:r w:rsidRPr="009E55EB">
        <w:t xml:space="preserve"> vozidel jsou pod </w:t>
      </w:r>
      <w:r w:rsidR="00C25F54" w:rsidRPr="009E55EB">
        <w:t>svažným</w:t>
      </w:r>
      <w:r w:rsidRPr="009E55EB">
        <w:t xml:space="preserve"> pahrbkem vloženy dva sledy</w:t>
      </w:r>
      <w:r w:rsidR="001F6C12">
        <w:t xml:space="preserve"> </w:t>
      </w:r>
      <w:r w:rsidR="00C25F54" w:rsidRPr="009E55EB">
        <w:t>elektropneumatických</w:t>
      </w:r>
      <w:r w:rsidRPr="009E55EB">
        <w:t xml:space="preserve"> </w:t>
      </w:r>
      <w:r w:rsidR="00C25F54" w:rsidRPr="009E55EB">
        <w:t>kolejových</w:t>
      </w:r>
      <w:r w:rsidRPr="009E55EB">
        <w:t xml:space="preserve"> brzd. </w:t>
      </w:r>
      <w:r w:rsidR="00C25F54" w:rsidRPr="009E55EB">
        <w:t>Kolejové</w:t>
      </w:r>
      <w:r w:rsidRPr="009E55EB">
        <w:t xml:space="preserve"> brzdy jsou </w:t>
      </w:r>
      <w:r w:rsidR="00C25F54" w:rsidRPr="009E55EB">
        <w:t>ovládány</w:t>
      </w:r>
      <w:r w:rsidRPr="009E55EB">
        <w:t xml:space="preserve"> ze </w:t>
      </w:r>
      <w:r w:rsidR="00C25F54" w:rsidRPr="009E55EB">
        <w:t>stavědlové</w:t>
      </w:r>
      <w:r w:rsidRPr="009E55EB">
        <w:t xml:space="preserve"> věže</w:t>
      </w:r>
      <w:r w:rsidR="001F6C12">
        <w:t xml:space="preserve"> </w:t>
      </w:r>
      <w:r w:rsidR="00C25F54" w:rsidRPr="009E55EB">
        <w:t>spádovištního</w:t>
      </w:r>
      <w:r w:rsidRPr="009E55EB">
        <w:t xml:space="preserve"> stavědla St 2 OP ze dvou </w:t>
      </w:r>
      <w:r w:rsidR="00C25F54" w:rsidRPr="009E55EB">
        <w:t>ovládacích</w:t>
      </w:r>
      <w:r w:rsidRPr="009E55EB">
        <w:t xml:space="preserve"> pultů signalisty - </w:t>
      </w:r>
      <w:r w:rsidR="00C25F54" w:rsidRPr="009E55EB">
        <w:t>operátora</w:t>
      </w:r>
      <w:r w:rsidRPr="009E55EB">
        <w:t xml:space="preserve"> </w:t>
      </w:r>
      <w:r w:rsidR="00C25F54" w:rsidRPr="009E55EB">
        <w:t>kolejových</w:t>
      </w:r>
      <w:r w:rsidRPr="009E55EB">
        <w:t xml:space="preserve"> brzd.</w:t>
      </w:r>
      <w:r w:rsidR="00EA7F17">
        <w:t xml:space="preserve"> Zabezpečovací zařízení na pravém a levém nádraží je z roku 1969.</w:t>
      </w:r>
    </w:p>
    <w:p w:rsidR="00795025" w:rsidRPr="002C1621" w:rsidRDefault="00795025" w:rsidP="009E55EB">
      <w:pPr>
        <w:rPr>
          <w:b/>
        </w:rPr>
      </w:pPr>
      <w:r w:rsidRPr="002C1621">
        <w:rPr>
          <w:b/>
        </w:rPr>
        <w:t xml:space="preserve">Žst. Bohumín, obvod Bohumín </w:t>
      </w:r>
      <w:r w:rsidR="00C25F54" w:rsidRPr="002C1621">
        <w:rPr>
          <w:b/>
        </w:rPr>
        <w:t>Vrbice:</w:t>
      </w:r>
    </w:p>
    <w:p w:rsidR="00795025" w:rsidRPr="009E55EB" w:rsidRDefault="00795025" w:rsidP="009E55EB">
      <w:r w:rsidRPr="009E55EB">
        <w:t xml:space="preserve">V </w:t>
      </w:r>
      <w:r w:rsidR="002E2FB3" w:rsidRPr="009E55EB">
        <w:t>traťovém</w:t>
      </w:r>
      <w:r w:rsidRPr="009E55EB">
        <w:t xml:space="preserve"> </w:t>
      </w:r>
      <w:r w:rsidR="002E2FB3" w:rsidRPr="009E55EB">
        <w:t>úseku</w:t>
      </w:r>
      <w:r w:rsidRPr="009E55EB">
        <w:t xml:space="preserve"> </w:t>
      </w:r>
      <w:r w:rsidR="002E2FB3" w:rsidRPr="009E55EB">
        <w:t>Bohumín</w:t>
      </w:r>
      <w:r w:rsidRPr="009E55EB">
        <w:t xml:space="preserve">, obvod </w:t>
      </w:r>
      <w:r w:rsidR="002E2FB3" w:rsidRPr="009E55EB">
        <w:t>Bohumín</w:t>
      </w:r>
      <w:r w:rsidRPr="009E55EB">
        <w:t xml:space="preserve"> Vrbice - Ostrava </w:t>
      </w:r>
      <w:r w:rsidR="000F38E0">
        <w:t>hl.n.</w:t>
      </w:r>
      <w:r w:rsidRPr="009E55EB">
        <w:t xml:space="preserve"> je </w:t>
      </w:r>
      <w:r w:rsidR="00C25F54" w:rsidRPr="009E55EB">
        <w:t>jízda</w:t>
      </w:r>
      <w:r w:rsidRPr="009E55EB">
        <w:t xml:space="preserve"> vlaků</w:t>
      </w:r>
      <w:r w:rsidR="00490D36">
        <w:t xml:space="preserve"> </w:t>
      </w:r>
      <w:r w:rsidR="00C25F54" w:rsidRPr="009E55EB">
        <w:t>zabezpečována</w:t>
      </w:r>
      <w:r w:rsidRPr="009E55EB">
        <w:t xml:space="preserve"> </w:t>
      </w:r>
      <w:r w:rsidR="00C25F54" w:rsidRPr="009E55EB">
        <w:t>traťovým</w:t>
      </w:r>
      <w:r w:rsidRPr="009E55EB">
        <w:t xml:space="preserve"> </w:t>
      </w:r>
      <w:r w:rsidR="002E2FB3" w:rsidRPr="009E55EB">
        <w:t>zabezpečovacím</w:t>
      </w:r>
      <w:r w:rsidRPr="009E55EB">
        <w:t xml:space="preserve"> </w:t>
      </w:r>
      <w:r w:rsidR="002E2FB3" w:rsidRPr="009E55EB">
        <w:t>zařízením</w:t>
      </w:r>
      <w:r w:rsidRPr="009E55EB">
        <w:t xml:space="preserve"> 3. kategorie, (soustředěny </w:t>
      </w:r>
      <w:r w:rsidR="002E2FB3" w:rsidRPr="009E55EB">
        <w:t>obousměrný</w:t>
      </w:r>
      <w:r w:rsidR="00490D36">
        <w:t xml:space="preserve"> </w:t>
      </w:r>
      <w:r w:rsidRPr="009E55EB">
        <w:t xml:space="preserve">elektronicky </w:t>
      </w:r>
      <w:r w:rsidR="002E2FB3" w:rsidRPr="009E55EB">
        <w:t>trojznakový</w:t>
      </w:r>
      <w:r w:rsidRPr="009E55EB">
        <w:t xml:space="preserve"> automaticky blok pro </w:t>
      </w:r>
      <w:r w:rsidR="002E2FB3" w:rsidRPr="009E55EB">
        <w:t>obousměrný</w:t>
      </w:r>
      <w:r w:rsidRPr="009E55EB">
        <w:t xml:space="preserve"> provoz typu ABE-1).</w:t>
      </w:r>
      <w:r w:rsidR="00EA7F17">
        <w:t xml:space="preserve"> Rok výstavby 2004.</w:t>
      </w:r>
    </w:p>
    <w:p w:rsidR="00795025" w:rsidRPr="009E55EB" w:rsidRDefault="00795025" w:rsidP="009E55EB">
      <w:r w:rsidRPr="009E55EB">
        <w:t xml:space="preserve">Žst. Ostrava </w:t>
      </w:r>
      <w:r w:rsidR="00C25F54" w:rsidRPr="009E55EB">
        <w:t>střed:</w:t>
      </w:r>
    </w:p>
    <w:p w:rsidR="00795025" w:rsidRPr="009E55EB" w:rsidRDefault="00795025" w:rsidP="009E55EB">
      <w:r w:rsidRPr="009E55EB">
        <w:t xml:space="preserve">ŽST Ostrava střed je vybaven </w:t>
      </w:r>
      <w:r w:rsidR="002E2FB3" w:rsidRPr="009E55EB">
        <w:t>zabezpečovacím</w:t>
      </w:r>
      <w:r w:rsidRPr="009E55EB">
        <w:t xml:space="preserve"> </w:t>
      </w:r>
      <w:r w:rsidR="002E2FB3" w:rsidRPr="009E55EB">
        <w:t>zařízením</w:t>
      </w:r>
      <w:r w:rsidRPr="009E55EB">
        <w:t xml:space="preserve"> 3. kategorie typu ESA 11</w:t>
      </w:r>
      <w:r w:rsidR="00490D36">
        <w:t xml:space="preserve"> </w:t>
      </w:r>
      <w:r w:rsidRPr="009E55EB">
        <w:t xml:space="preserve">s </w:t>
      </w:r>
      <w:r w:rsidR="002E2FB3" w:rsidRPr="009E55EB">
        <w:t>jednotným</w:t>
      </w:r>
      <w:r w:rsidRPr="009E55EB">
        <w:t xml:space="preserve"> </w:t>
      </w:r>
      <w:r w:rsidR="00C25F54" w:rsidRPr="009E55EB">
        <w:t>obslužným</w:t>
      </w:r>
      <w:r w:rsidRPr="009E55EB">
        <w:t xml:space="preserve"> pracovištěm (JOP) </w:t>
      </w:r>
      <w:r w:rsidR="00C25F54" w:rsidRPr="009E55EB">
        <w:t>umístěným</w:t>
      </w:r>
      <w:r w:rsidRPr="009E55EB">
        <w:t xml:space="preserve"> v </w:t>
      </w:r>
      <w:r w:rsidR="00C25F54" w:rsidRPr="009E55EB">
        <w:t>dopravní</w:t>
      </w:r>
      <w:r w:rsidRPr="009E55EB">
        <w:t xml:space="preserve"> </w:t>
      </w:r>
      <w:r w:rsidR="00C25F54" w:rsidRPr="009E55EB">
        <w:t>kanceláři</w:t>
      </w:r>
      <w:r w:rsidRPr="009E55EB">
        <w:t xml:space="preserve"> na </w:t>
      </w:r>
      <w:r w:rsidR="00C25F54" w:rsidRPr="009E55EB">
        <w:t>řídicím</w:t>
      </w:r>
      <w:r w:rsidRPr="009E55EB">
        <w:t xml:space="preserve"> stavědle</w:t>
      </w:r>
      <w:r w:rsidR="00490D36">
        <w:t xml:space="preserve"> </w:t>
      </w:r>
      <w:r w:rsidRPr="009E55EB">
        <w:t xml:space="preserve">ŽST Ostrava </w:t>
      </w:r>
      <w:r w:rsidR="000F38E0">
        <w:t>hl.n.</w:t>
      </w:r>
      <w:r w:rsidRPr="009E55EB">
        <w:t xml:space="preserve"> Je </w:t>
      </w:r>
      <w:r w:rsidR="00C25F54" w:rsidRPr="009E55EB">
        <w:t>dálkově</w:t>
      </w:r>
      <w:r w:rsidRPr="009E55EB">
        <w:t xml:space="preserve"> </w:t>
      </w:r>
      <w:r w:rsidR="00C25F54" w:rsidRPr="009E55EB">
        <w:t>řízena</w:t>
      </w:r>
      <w:r w:rsidRPr="009E55EB">
        <w:t>.</w:t>
      </w:r>
      <w:r w:rsidR="00EA7F17">
        <w:t xml:space="preserve"> Rok výstavby 2007.</w:t>
      </w:r>
    </w:p>
    <w:p w:rsidR="00795025" w:rsidRPr="00490D36" w:rsidRDefault="00795025" w:rsidP="00490D36">
      <w:pPr>
        <w:pStyle w:val="Nadpis3"/>
      </w:pPr>
      <w:bookmarkStart w:id="8" w:name="_Toc40186572"/>
      <w:r w:rsidRPr="00490D36">
        <w:t>Silnoproudá zařízení a rozvody</w:t>
      </w:r>
      <w:bookmarkEnd w:id="8"/>
    </w:p>
    <w:p w:rsidR="00795025" w:rsidRPr="002C1621" w:rsidRDefault="00795025" w:rsidP="00490D36">
      <w:pPr>
        <w:rPr>
          <w:b/>
        </w:rPr>
      </w:pPr>
      <w:r w:rsidRPr="002C1621">
        <w:rPr>
          <w:b/>
        </w:rPr>
        <w:t>Kabelové rozvody nn</w:t>
      </w:r>
      <w:r w:rsidR="00306652">
        <w:rPr>
          <w:b/>
        </w:rPr>
        <w:t xml:space="preserve"> a EOV</w:t>
      </w:r>
    </w:p>
    <w:p w:rsidR="00306652" w:rsidRDefault="00306652" w:rsidP="00490D36">
      <w:r>
        <w:t>Silnoproudé</w:t>
      </w:r>
      <w:r w:rsidRPr="00490D36">
        <w:t xml:space="preserve"> rozvody pro napájení nn, transformovna a rozvodna nn</w:t>
      </w:r>
      <w:r>
        <w:t xml:space="preserve"> a elektrický ohřev výhybek.</w:t>
      </w:r>
    </w:p>
    <w:p w:rsidR="00795025" w:rsidRPr="00490D36" w:rsidRDefault="00306652" w:rsidP="00490D36">
      <w:r>
        <w:t xml:space="preserve">V </w:t>
      </w:r>
      <w:r w:rsidR="00795025" w:rsidRPr="00EA7F17">
        <w:rPr>
          <w:u w:val="single"/>
        </w:rPr>
        <w:t xml:space="preserve">Žst. Ostrava </w:t>
      </w:r>
      <w:r w:rsidRPr="00EA7F17">
        <w:rPr>
          <w:u w:val="single"/>
        </w:rPr>
        <w:t>–</w:t>
      </w:r>
      <w:r w:rsidR="00795025" w:rsidRPr="00EA7F17">
        <w:rPr>
          <w:u w:val="single"/>
        </w:rPr>
        <w:t xml:space="preserve"> Svinov</w:t>
      </w:r>
      <w:r>
        <w:t xml:space="preserve"> </w:t>
      </w:r>
      <w:r w:rsidR="00795025" w:rsidRPr="00490D36">
        <w:t>uvedeny do provozu v</w:t>
      </w:r>
      <w:r>
        <w:t> </w:t>
      </w:r>
      <w:r w:rsidR="00795025" w:rsidRPr="00490D36">
        <w:t>roce</w:t>
      </w:r>
      <w:r>
        <w:t xml:space="preserve"> 2003 v</w:t>
      </w:r>
      <w:r w:rsidR="00795025" w:rsidRPr="00490D36">
        <w:t xml:space="preserve"> </w:t>
      </w:r>
      <w:r w:rsidR="00C25F54" w:rsidRPr="00490D36">
        <w:t>rámci</w:t>
      </w:r>
      <w:r w:rsidR="00795025" w:rsidRPr="00490D36">
        <w:t xml:space="preserve"> modernizace </w:t>
      </w:r>
      <w:r w:rsidR="00C25F54" w:rsidRPr="00490D36">
        <w:t>úseku</w:t>
      </w:r>
      <w:r w:rsidR="00795025" w:rsidRPr="00490D36">
        <w:t xml:space="preserve"> </w:t>
      </w:r>
      <w:r w:rsidR="00C25F54" w:rsidRPr="00490D36">
        <w:t>Studénka</w:t>
      </w:r>
      <w:r>
        <w:t xml:space="preserve"> Ostrava, EOV na 26 výhybkách.</w:t>
      </w:r>
    </w:p>
    <w:p w:rsidR="00795025" w:rsidRDefault="00306652" w:rsidP="00490D36">
      <w:r>
        <w:t xml:space="preserve">V </w:t>
      </w:r>
      <w:r w:rsidRPr="00EA7F17">
        <w:rPr>
          <w:u w:val="single"/>
        </w:rPr>
        <w:t>Ž</w:t>
      </w:r>
      <w:r w:rsidR="00795025" w:rsidRPr="00EA7F17">
        <w:rPr>
          <w:u w:val="single"/>
        </w:rPr>
        <w:t xml:space="preserve">st. Ostrava </w:t>
      </w:r>
      <w:r w:rsidR="000F38E0" w:rsidRPr="00EA7F17">
        <w:rPr>
          <w:u w:val="single"/>
        </w:rPr>
        <w:t>hl.n.</w:t>
      </w:r>
      <w:r w:rsidR="00795025" w:rsidRPr="00490D36">
        <w:t xml:space="preserve"> uvedeny do provozu v</w:t>
      </w:r>
      <w:r>
        <w:t> </w:t>
      </w:r>
      <w:r w:rsidR="00795025" w:rsidRPr="00490D36">
        <w:t>roce</w:t>
      </w:r>
      <w:r>
        <w:t xml:space="preserve"> </w:t>
      </w:r>
      <w:r w:rsidR="00795025" w:rsidRPr="00490D36">
        <w:t xml:space="preserve">1997. Transformovny </w:t>
      </w:r>
      <w:r w:rsidR="00C25F54" w:rsidRPr="00490D36">
        <w:t>rekonstruovány</w:t>
      </w:r>
      <w:r w:rsidR="00795025" w:rsidRPr="00490D36">
        <w:t xml:space="preserve"> v roce 2003, v roce 2008</w:t>
      </w:r>
      <w:r w:rsidR="00EA7F17">
        <w:t xml:space="preserve"> byla </w:t>
      </w:r>
      <w:r w:rsidR="00EA7F17" w:rsidRPr="00490D36">
        <w:t xml:space="preserve">postavena </w:t>
      </w:r>
      <w:r w:rsidR="00EA7F17">
        <w:t xml:space="preserve">transformovna </w:t>
      </w:r>
      <w:r w:rsidR="00EA7F17" w:rsidRPr="00490D36">
        <w:t>T129</w:t>
      </w:r>
      <w:r>
        <w:t>, EOV na 125 výhybkách.</w:t>
      </w:r>
    </w:p>
    <w:p w:rsidR="002C1621" w:rsidRPr="00490D36" w:rsidRDefault="002C1621" w:rsidP="002C1621">
      <w:r w:rsidRPr="00EA7F17">
        <w:rPr>
          <w:u w:val="single"/>
        </w:rPr>
        <w:t xml:space="preserve">Žst. Ostrava </w:t>
      </w:r>
      <w:r w:rsidR="00306652" w:rsidRPr="00EA7F17">
        <w:rPr>
          <w:u w:val="single"/>
        </w:rPr>
        <w:t>–</w:t>
      </w:r>
      <w:r w:rsidRPr="00EA7F17">
        <w:rPr>
          <w:u w:val="single"/>
        </w:rPr>
        <w:t xml:space="preserve"> střed</w:t>
      </w:r>
      <w:r w:rsidR="00306652">
        <w:t xml:space="preserve"> </w:t>
      </w:r>
      <w:r>
        <w:t>Silnoproudé</w:t>
      </w:r>
      <w:r w:rsidRPr="00490D36">
        <w:t xml:space="preserve"> rozvody pro napájení nn, transformovny a rozvodny nn uvedeny do provozu v</w:t>
      </w:r>
      <w:r w:rsidR="00306652">
        <w:t> </w:t>
      </w:r>
      <w:r w:rsidRPr="00490D36">
        <w:t>roce</w:t>
      </w:r>
      <w:r w:rsidR="00306652">
        <w:t xml:space="preserve"> </w:t>
      </w:r>
      <w:r w:rsidRPr="00490D36">
        <w:t>2007</w:t>
      </w:r>
      <w:r w:rsidR="00306652">
        <w:t>, EOV na 12 výhybkách.</w:t>
      </w:r>
    </w:p>
    <w:p w:rsidR="00795025" w:rsidRPr="00306652" w:rsidRDefault="00306652" w:rsidP="00490D36">
      <w:pPr>
        <w:rPr>
          <w:b/>
        </w:rPr>
      </w:pPr>
      <w:r w:rsidRPr="00306652">
        <w:rPr>
          <w:b/>
        </w:rPr>
        <w:lastRenderedPageBreak/>
        <w:t>Osvětlení</w:t>
      </w:r>
    </w:p>
    <w:p w:rsidR="00795025" w:rsidRPr="00503194" w:rsidRDefault="00795025" w:rsidP="00490D36">
      <w:pPr>
        <w:rPr>
          <w:u w:val="single"/>
        </w:rPr>
      </w:pPr>
      <w:r w:rsidRPr="00503194">
        <w:rPr>
          <w:u w:val="single"/>
        </w:rPr>
        <w:t>Žst. Ostrava - Svinov</w:t>
      </w:r>
    </w:p>
    <w:p w:rsidR="00795025" w:rsidRPr="00490D36" w:rsidRDefault="00C25F54" w:rsidP="00490D36">
      <w:r w:rsidRPr="00490D36">
        <w:t>Venkovní</w:t>
      </w:r>
      <w:r w:rsidR="00795025" w:rsidRPr="00490D36">
        <w:t xml:space="preserve"> </w:t>
      </w:r>
      <w:r w:rsidR="00306652">
        <w:t>osvětlení</w:t>
      </w:r>
      <w:r w:rsidR="00795025" w:rsidRPr="00490D36">
        <w:t xml:space="preserve"> uvedeno do provozu v roce 2003, rozvaděče </w:t>
      </w:r>
      <w:r w:rsidRPr="00490D36">
        <w:t>rekonstruovány</w:t>
      </w:r>
      <w:r w:rsidR="00795025" w:rsidRPr="00490D36">
        <w:t xml:space="preserve"> v</w:t>
      </w:r>
      <w:r w:rsidR="00306652">
        <w:t> </w:t>
      </w:r>
      <w:r w:rsidR="00795025" w:rsidRPr="00490D36">
        <w:t>roce</w:t>
      </w:r>
      <w:r w:rsidR="00306652">
        <w:t xml:space="preserve"> </w:t>
      </w:r>
      <w:r w:rsidR="00795025" w:rsidRPr="00490D36">
        <w:t>2011-13.</w:t>
      </w:r>
      <w:r w:rsidR="00306652">
        <w:t xml:space="preserve"> O</w:t>
      </w:r>
      <w:r w:rsidRPr="00490D36">
        <w:t>světlovací</w:t>
      </w:r>
      <w:r w:rsidR="00795025" w:rsidRPr="00490D36">
        <w:t xml:space="preserve"> věže 20ks 38kW, 17ks JŽ 5,45kW. </w:t>
      </w:r>
      <w:r w:rsidR="00306652">
        <w:t>Osvětlení</w:t>
      </w:r>
      <w:r w:rsidR="00795025" w:rsidRPr="00490D36">
        <w:t xml:space="preserve"> </w:t>
      </w:r>
      <w:r w:rsidRPr="00490D36">
        <w:t>nástupišť</w:t>
      </w:r>
      <w:r w:rsidR="00795025" w:rsidRPr="00490D36">
        <w:t xml:space="preserve"> a podchodů</w:t>
      </w:r>
      <w:r w:rsidR="00EA7F17">
        <w:t xml:space="preserve"> uvedeno </w:t>
      </w:r>
      <w:r w:rsidR="00795025" w:rsidRPr="00490D36">
        <w:t xml:space="preserve">do provozu </w:t>
      </w:r>
      <w:r w:rsidR="00EB17F2">
        <w:t xml:space="preserve">v roce </w:t>
      </w:r>
      <w:r w:rsidR="00795025" w:rsidRPr="00490D36">
        <w:t xml:space="preserve">2003, </w:t>
      </w:r>
      <w:r w:rsidRPr="00490D36">
        <w:t>výkon</w:t>
      </w:r>
      <w:r w:rsidR="00795025" w:rsidRPr="00490D36">
        <w:t xml:space="preserve"> 38kW.</w:t>
      </w:r>
    </w:p>
    <w:p w:rsidR="00795025" w:rsidRPr="00503194" w:rsidRDefault="00795025" w:rsidP="00490D36">
      <w:pPr>
        <w:rPr>
          <w:u w:val="single"/>
        </w:rPr>
      </w:pPr>
      <w:r w:rsidRPr="00503194">
        <w:rPr>
          <w:u w:val="single"/>
        </w:rPr>
        <w:t xml:space="preserve">Žst. Ostrava </w:t>
      </w:r>
      <w:r w:rsidR="000F38E0" w:rsidRPr="00503194">
        <w:rPr>
          <w:u w:val="single"/>
        </w:rPr>
        <w:t>hl.n.</w:t>
      </w:r>
    </w:p>
    <w:p w:rsidR="00795025" w:rsidRPr="00490D36" w:rsidRDefault="00795025" w:rsidP="00490D36">
      <w:r w:rsidRPr="00490D36">
        <w:t>Ostrava ONV</w:t>
      </w:r>
      <w:r w:rsidR="00EB17F2">
        <w:t xml:space="preserve"> - z</w:t>
      </w:r>
      <w:r w:rsidR="00C25F54" w:rsidRPr="00490D36">
        <w:t>ařízení</w:t>
      </w:r>
      <w:r w:rsidRPr="00490D36">
        <w:t xml:space="preserve"> uvedeno do provozu v roce 1997.</w:t>
      </w:r>
      <w:r w:rsidR="00306652">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Pr="00490D36">
        <w:t xml:space="preserve"> věžemi 11ks,4ks JŽ</w:t>
      </w:r>
      <w:r w:rsidR="00306652">
        <w:t>,</w:t>
      </w:r>
      <w:r w:rsidRPr="00490D36">
        <w:t xml:space="preserve"> </w:t>
      </w:r>
      <w:r w:rsidR="00C25F54" w:rsidRPr="00490D36">
        <w:t>výkon</w:t>
      </w:r>
      <w:r w:rsidR="00306652">
        <w:t xml:space="preserve"> </w:t>
      </w:r>
      <w:r w:rsidRPr="00490D36">
        <w:t>35.6kW.</w:t>
      </w:r>
    </w:p>
    <w:p w:rsidR="00795025" w:rsidRPr="00490D36" w:rsidRDefault="00795025" w:rsidP="00490D36">
      <w:r w:rsidRPr="00490D36">
        <w:t>Ostrava OL</w:t>
      </w:r>
      <w:r w:rsidR="00EB17F2">
        <w:t xml:space="preserve"> - z</w:t>
      </w:r>
      <w:r w:rsidR="00C25F54" w:rsidRPr="00490D36">
        <w:t>ařízení</w:t>
      </w:r>
      <w:r w:rsidRPr="00490D36">
        <w:t xml:space="preserve"> uvedeno do provozu v roce 1997.</w:t>
      </w:r>
      <w:r w:rsidR="00306652">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Pr="00490D36">
        <w:t xml:space="preserve"> věžemi 13ks</w:t>
      </w:r>
      <w:r w:rsidR="00306652">
        <w:t xml:space="preserve">, </w:t>
      </w:r>
      <w:r w:rsidR="00C25F54" w:rsidRPr="00490D36">
        <w:t>výkon</w:t>
      </w:r>
      <w:r w:rsidR="00306652">
        <w:t xml:space="preserve"> </w:t>
      </w:r>
      <w:r w:rsidRPr="00490D36">
        <w:t>48.1kW.</w:t>
      </w:r>
    </w:p>
    <w:p w:rsidR="00795025" w:rsidRPr="00490D36" w:rsidRDefault="00795025" w:rsidP="00490D36">
      <w:r w:rsidRPr="00490D36">
        <w:t>Ostrava OMH</w:t>
      </w:r>
      <w:r w:rsidR="00EB17F2">
        <w:t xml:space="preserve"> - z</w:t>
      </w:r>
      <w:r w:rsidR="00C25F54" w:rsidRPr="00490D36">
        <w:t>ařízení</w:t>
      </w:r>
      <w:r w:rsidR="00306652">
        <w:t xml:space="preserve"> uvedeno do provozu v roce 1997</w:t>
      </w:r>
      <w:r w:rsidR="00306652" w:rsidRPr="00490D36">
        <w:t>, rekonstrukce 2011</w:t>
      </w:r>
      <w:r w:rsidR="00306652">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00306652">
        <w:t xml:space="preserve"> věžemi 7ks,4JŽ, osvětlení</w:t>
      </w:r>
      <w:r w:rsidRPr="00490D36">
        <w:t xml:space="preserve"> </w:t>
      </w:r>
      <w:r w:rsidR="00C25F54" w:rsidRPr="00490D36">
        <w:t>nástupiště</w:t>
      </w:r>
      <w:r w:rsidRPr="00490D36">
        <w:t xml:space="preserve">, 18ks JŽ, </w:t>
      </w:r>
      <w:r w:rsidR="00306652">
        <w:t xml:space="preserve">výkon </w:t>
      </w:r>
      <w:r w:rsidRPr="00490D36">
        <w:t>20kW.</w:t>
      </w:r>
    </w:p>
    <w:p w:rsidR="00795025" w:rsidRPr="00490D36" w:rsidRDefault="00795025" w:rsidP="00490D36">
      <w:r w:rsidRPr="00490D36">
        <w:t>Ostrava OP</w:t>
      </w:r>
      <w:r w:rsidR="00EB17F2">
        <w:t xml:space="preserve"> - z</w:t>
      </w:r>
      <w:r w:rsidR="00C25F54" w:rsidRPr="00490D36">
        <w:t>ařízení</w:t>
      </w:r>
      <w:r w:rsidR="00306652">
        <w:t xml:space="preserve"> uvedeno do provozu v roce 1997 </w:t>
      </w:r>
      <w:r w:rsidR="00C25F54" w:rsidRPr="00490D36">
        <w:t>Venkovní</w:t>
      </w:r>
      <w:r w:rsidRPr="00490D36">
        <w:t xml:space="preserve"> </w:t>
      </w:r>
      <w:r w:rsidR="00306652">
        <w:t>osvětlení</w:t>
      </w:r>
      <w:r w:rsidRPr="00490D36">
        <w:t xml:space="preserve"> řešeno </w:t>
      </w:r>
      <w:r w:rsidR="00C25F54" w:rsidRPr="00490D36">
        <w:t>osvětlovacími</w:t>
      </w:r>
      <w:r w:rsidRPr="00490D36">
        <w:t xml:space="preserve"> věžemi 11ks</w:t>
      </w:r>
      <w:r w:rsidR="00306652">
        <w:t xml:space="preserve">, </w:t>
      </w:r>
      <w:r w:rsidR="00C25F54" w:rsidRPr="00490D36">
        <w:t>výkon</w:t>
      </w:r>
      <w:r w:rsidR="00306652">
        <w:t xml:space="preserve"> </w:t>
      </w:r>
      <w:r w:rsidRPr="00490D36">
        <w:t>48.1kW.</w:t>
      </w:r>
    </w:p>
    <w:p w:rsidR="00795025" w:rsidRPr="00490D36" w:rsidRDefault="00795025" w:rsidP="00490D36">
      <w:r w:rsidRPr="00490D36">
        <w:t>Ostrava ŘS</w:t>
      </w:r>
      <w:r w:rsidR="00EB17F2">
        <w:t xml:space="preserve"> - z</w:t>
      </w:r>
      <w:r w:rsidR="00C25F54" w:rsidRPr="00490D36">
        <w:t>ařízení</w:t>
      </w:r>
      <w:r w:rsidRPr="00490D36">
        <w:t xml:space="preserve"> uvedeno do provozu v roce 1997. </w:t>
      </w:r>
      <w:r w:rsidR="00C25F54" w:rsidRPr="00490D36">
        <w:t>Dálkové</w:t>
      </w:r>
      <w:r w:rsidRPr="00490D36">
        <w:t xml:space="preserve"> </w:t>
      </w:r>
      <w:r w:rsidR="00C25F54" w:rsidRPr="00490D36">
        <w:t>ovládáni</w:t>
      </w:r>
      <w:r w:rsidRPr="00490D36">
        <w:t xml:space="preserve"> a vyzbroj rozvaděčů rekonstrukce</w:t>
      </w:r>
      <w:r w:rsidR="00503194">
        <w:t xml:space="preserve"> </w:t>
      </w:r>
      <w:r w:rsidRPr="00490D36">
        <w:t>v roce 2011.</w:t>
      </w:r>
      <w:r w:rsidR="00503194">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Pr="00490D36">
        <w:t xml:space="preserve"> věžemi 31ks. </w:t>
      </w:r>
    </w:p>
    <w:p w:rsidR="00795025" w:rsidRPr="00490D36" w:rsidRDefault="00795025" w:rsidP="00503194">
      <w:r w:rsidRPr="00490D36">
        <w:t>Ostrava OS</w:t>
      </w:r>
      <w:r w:rsidR="00EB17F2">
        <w:t xml:space="preserve"> - z</w:t>
      </w:r>
      <w:r w:rsidR="00C25F54" w:rsidRPr="00490D36">
        <w:t>ařízení</w:t>
      </w:r>
      <w:r w:rsidRPr="00490D36">
        <w:t xml:space="preserve"> uvedeno do provozu 2008, </w:t>
      </w:r>
      <w:r w:rsidR="00C25F54" w:rsidRPr="00490D36">
        <w:t>venkovní</w:t>
      </w:r>
      <w:r w:rsidRPr="00490D36">
        <w:t xml:space="preserve"> </w:t>
      </w:r>
      <w:r w:rsidR="00306652">
        <w:t>osvětlení</w:t>
      </w:r>
      <w:r w:rsidRPr="00490D36">
        <w:t xml:space="preserve"> </w:t>
      </w:r>
      <w:r w:rsidR="00C25F54" w:rsidRPr="00490D36">
        <w:t>svítidly</w:t>
      </w:r>
      <w:r w:rsidRPr="00490D36">
        <w:t xml:space="preserve"> na TP 25ks, JŽ12 22ks. 9,25kW</w:t>
      </w:r>
      <w:r w:rsidR="00503194">
        <w:t>, o</w:t>
      </w:r>
      <w:r w:rsidR="00306652">
        <w:t>světlení</w:t>
      </w:r>
      <w:r w:rsidRPr="00490D36">
        <w:t xml:space="preserve"> </w:t>
      </w:r>
      <w:r w:rsidR="00C25F54" w:rsidRPr="00490D36">
        <w:t>nástupiště 1., 2. do</w:t>
      </w:r>
      <w:r w:rsidRPr="00490D36">
        <w:t xml:space="preserve"> provozu 2002, </w:t>
      </w:r>
      <w:r w:rsidR="00C25F54" w:rsidRPr="00490D36">
        <w:t>rekonstruována</w:t>
      </w:r>
      <w:r w:rsidRPr="00490D36">
        <w:t xml:space="preserve"> 2011</w:t>
      </w:r>
      <w:r w:rsidR="00503194">
        <w:t>, výkon</w:t>
      </w:r>
      <w:r w:rsidRPr="00490D36">
        <w:t xml:space="preserve"> 9,6kW. </w:t>
      </w:r>
      <w:r w:rsidR="00C25F54" w:rsidRPr="00490D36">
        <w:t>Nástupiště 4., 5., rekonstrukce</w:t>
      </w:r>
      <w:r w:rsidRPr="00490D36">
        <w:t xml:space="preserve"> 2007, </w:t>
      </w:r>
      <w:r w:rsidR="00503194">
        <w:t>výkon</w:t>
      </w:r>
      <w:r w:rsidRPr="00490D36">
        <w:t xml:space="preserve"> 10kW.</w:t>
      </w:r>
    </w:p>
    <w:p w:rsidR="00795025" w:rsidRPr="00490D36" w:rsidRDefault="00795025" w:rsidP="00490D36">
      <w:r w:rsidRPr="00490D36">
        <w:t>Ostrava KO</w:t>
      </w:r>
      <w:r w:rsidR="00EB17F2">
        <w:t xml:space="preserve"> - z</w:t>
      </w:r>
      <w:r w:rsidR="00C25F54" w:rsidRPr="00490D36">
        <w:t>ařízení</w:t>
      </w:r>
      <w:r w:rsidRPr="00490D36">
        <w:t xml:space="preserve"> uvedeno do provozu v roce 2007.</w:t>
      </w:r>
      <w:r w:rsidR="00503194">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Pr="00490D36">
        <w:t xml:space="preserve"> věžemi 21ks,</w:t>
      </w:r>
      <w:r w:rsidR="00503194">
        <w:t xml:space="preserve"> výkon </w:t>
      </w:r>
      <w:r w:rsidRPr="00490D36">
        <w:t>50.9kW</w:t>
      </w:r>
    </w:p>
    <w:p w:rsidR="00795025" w:rsidRPr="00490D36" w:rsidRDefault="00795025" w:rsidP="00503194">
      <w:r w:rsidRPr="00490D36">
        <w:t>Ostrava OBS</w:t>
      </w:r>
      <w:r w:rsidR="00EB17F2">
        <w:t xml:space="preserve"> - z</w:t>
      </w:r>
      <w:r w:rsidR="00C25F54" w:rsidRPr="00490D36">
        <w:t>ařízení</w:t>
      </w:r>
      <w:r w:rsidRPr="00490D36">
        <w:t xml:space="preserve"> uvedeno do provozu v roce 2007.</w:t>
      </w:r>
      <w:r w:rsidR="00503194">
        <w:t xml:space="preserve"> </w:t>
      </w:r>
      <w:r w:rsidR="00C25F54" w:rsidRPr="00490D36">
        <w:t>Venkovní</w:t>
      </w:r>
      <w:r w:rsidRPr="00490D36">
        <w:t xml:space="preserve"> </w:t>
      </w:r>
      <w:r w:rsidR="00306652">
        <w:t>osvětlení</w:t>
      </w:r>
      <w:r w:rsidRPr="00490D36">
        <w:t xml:space="preserve"> řešeno </w:t>
      </w:r>
      <w:r w:rsidR="00C25F54" w:rsidRPr="00490D36">
        <w:t>osvětlovacími</w:t>
      </w:r>
      <w:r w:rsidR="00EB17F2">
        <w:t xml:space="preserve"> věžemi 12ks</w:t>
      </w:r>
      <w:r w:rsidRPr="00490D36">
        <w:t xml:space="preserve">. </w:t>
      </w:r>
    </w:p>
    <w:p w:rsidR="00795025" w:rsidRPr="00503194" w:rsidRDefault="00795025" w:rsidP="00490D36">
      <w:pPr>
        <w:rPr>
          <w:u w:val="single"/>
        </w:rPr>
      </w:pPr>
      <w:r w:rsidRPr="00503194">
        <w:rPr>
          <w:u w:val="single"/>
        </w:rPr>
        <w:t>Zast. Ostrava - Stodolní</w:t>
      </w:r>
    </w:p>
    <w:p w:rsidR="00795025" w:rsidRPr="00490D36" w:rsidRDefault="00306652" w:rsidP="00490D36">
      <w:r>
        <w:t>Osvětlení</w:t>
      </w:r>
      <w:r w:rsidR="00795025" w:rsidRPr="00490D36">
        <w:t xml:space="preserve"> </w:t>
      </w:r>
      <w:r w:rsidR="00C25F54" w:rsidRPr="00490D36">
        <w:t>nástupiště</w:t>
      </w:r>
      <w:r w:rsidR="00795025" w:rsidRPr="00490D36">
        <w:t xml:space="preserve"> a podchodu do provozu 2007, </w:t>
      </w:r>
      <w:r w:rsidR="00503194">
        <w:t>výkon</w:t>
      </w:r>
      <w:r w:rsidR="00795025" w:rsidRPr="00490D36">
        <w:t xml:space="preserve"> 34 kW.</w:t>
      </w:r>
    </w:p>
    <w:p w:rsidR="00795025" w:rsidRPr="00503194" w:rsidRDefault="00795025" w:rsidP="00490D36">
      <w:pPr>
        <w:rPr>
          <w:u w:val="single"/>
        </w:rPr>
      </w:pPr>
      <w:r w:rsidRPr="00503194">
        <w:rPr>
          <w:u w:val="single"/>
        </w:rPr>
        <w:t>Žst .Ostrava - střed</w:t>
      </w:r>
    </w:p>
    <w:p w:rsidR="00795025" w:rsidRPr="00490D36" w:rsidRDefault="00C25F54" w:rsidP="00490D36">
      <w:r w:rsidRPr="00490D36">
        <w:t>Zařízení</w:t>
      </w:r>
      <w:r w:rsidR="00795025" w:rsidRPr="00490D36">
        <w:t xml:space="preserve"> uvedeno do provozu v roce 2007.</w:t>
      </w:r>
      <w:r w:rsidR="00503194">
        <w:t xml:space="preserve"> </w:t>
      </w:r>
      <w:r w:rsidRPr="00490D36">
        <w:t>Venkovní</w:t>
      </w:r>
      <w:r w:rsidR="00795025" w:rsidRPr="00490D36">
        <w:t xml:space="preserve"> </w:t>
      </w:r>
      <w:r w:rsidR="00306652">
        <w:t>osvětlení</w:t>
      </w:r>
      <w:r w:rsidR="00795025" w:rsidRPr="00490D36">
        <w:t xml:space="preserve"> řešeno </w:t>
      </w:r>
      <w:r w:rsidRPr="00490D36">
        <w:t>osvětlením</w:t>
      </w:r>
      <w:r w:rsidR="00795025" w:rsidRPr="00490D36">
        <w:t xml:space="preserve"> na TP 49ks 12,75kW. </w:t>
      </w:r>
      <w:r w:rsidR="00306652">
        <w:t>Osvětlení</w:t>
      </w:r>
      <w:r w:rsidR="00795025" w:rsidRPr="00490D36">
        <w:t xml:space="preserve"> </w:t>
      </w:r>
      <w:r w:rsidRPr="00490D36">
        <w:t>nástupiště</w:t>
      </w:r>
      <w:r w:rsidR="00795025" w:rsidRPr="00490D36">
        <w:t xml:space="preserve"> provedeno 24ks </w:t>
      </w:r>
      <w:r w:rsidRPr="00490D36">
        <w:t>perónních</w:t>
      </w:r>
      <w:r w:rsidR="00795025" w:rsidRPr="00490D36">
        <w:t xml:space="preserve"> </w:t>
      </w:r>
      <w:r w:rsidRPr="00490D36">
        <w:t>stožárků (PS</w:t>
      </w:r>
      <w:r w:rsidR="00795025" w:rsidRPr="00490D36">
        <w:t xml:space="preserve">), </w:t>
      </w:r>
      <w:r w:rsidRPr="00490D36">
        <w:t>výkon</w:t>
      </w:r>
      <w:r w:rsidR="00795025" w:rsidRPr="00490D36">
        <w:t xml:space="preserve"> 1,8 </w:t>
      </w:r>
      <w:r w:rsidRPr="00490D36">
        <w:t>KW</w:t>
      </w:r>
      <w:r w:rsidR="00795025" w:rsidRPr="00490D36">
        <w:t>.</w:t>
      </w:r>
    </w:p>
    <w:p w:rsidR="00795025" w:rsidRPr="00E400C2" w:rsidRDefault="00795025" w:rsidP="00E400C2">
      <w:pPr>
        <w:pStyle w:val="Nadpis3"/>
      </w:pPr>
      <w:r w:rsidRPr="00E400C2">
        <w:t xml:space="preserve"> </w:t>
      </w:r>
      <w:bookmarkStart w:id="9" w:name="_Toc40186573"/>
      <w:r w:rsidRPr="00E400C2">
        <w:t>Trakční vedení</w:t>
      </w:r>
      <w:bookmarkEnd w:id="9"/>
    </w:p>
    <w:p w:rsidR="00795025" w:rsidRPr="00E400C2" w:rsidRDefault="00795025" w:rsidP="00E400C2">
      <w:r w:rsidRPr="00E400C2">
        <w:t xml:space="preserve">Trať č. 270 (žst. Ostrava - Svinov a žst. Ostrava </w:t>
      </w:r>
      <w:r w:rsidR="000F38E0">
        <w:t>hl.n.</w:t>
      </w:r>
      <w:r w:rsidRPr="00E400C2">
        <w:t>)</w:t>
      </w:r>
    </w:p>
    <w:p w:rsidR="00795025" w:rsidRPr="00E400C2" w:rsidRDefault="00795025" w:rsidP="00E400C2">
      <w:r w:rsidRPr="00E400C2">
        <w:t>Dotčen</w:t>
      </w:r>
      <w:r w:rsidR="00EB17F2">
        <w:t>ý</w:t>
      </w:r>
      <w:r w:rsidRPr="00E400C2">
        <w:t xml:space="preserve"> usek je </w:t>
      </w:r>
      <w:r w:rsidR="00C25F54" w:rsidRPr="00E400C2">
        <w:t>elektrizován</w:t>
      </w:r>
      <w:r w:rsidRPr="00E400C2">
        <w:t xml:space="preserve"> stejnosměrnou </w:t>
      </w:r>
      <w:r w:rsidR="00C25F54" w:rsidRPr="00E400C2">
        <w:t>trakční</w:t>
      </w:r>
      <w:r w:rsidRPr="00E400C2">
        <w:t xml:space="preserve"> soustavou DC 3kV. </w:t>
      </w:r>
      <w:r w:rsidR="00C25F54" w:rsidRPr="00E400C2">
        <w:t>Původní</w:t>
      </w:r>
      <w:r w:rsidRPr="00E400C2">
        <w:t xml:space="preserve"> </w:t>
      </w:r>
      <w:r w:rsidR="00C25F54" w:rsidRPr="00E400C2">
        <w:t>trakční</w:t>
      </w:r>
      <w:r w:rsidRPr="00E400C2">
        <w:t xml:space="preserve"> </w:t>
      </w:r>
      <w:r w:rsidR="00C008CC">
        <w:t>vedení</w:t>
      </w:r>
      <w:r w:rsidR="00E400C2">
        <w:t xml:space="preserve"> </w:t>
      </w:r>
      <w:r w:rsidRPr="00E400C2">
        <w:t xml:space="preserve">bylo </w:t>
      </w:r>
      <w:r w:rsidR="00C25F54" w:rsidRPr="00E400C2">
        <w:t>vybudováno</w:t>
      </w:r>
      <w:r w:rsidRPr="00E400C2">
        <w:t xml:space="preserve"> v roce 1962. Během provozu bylo </w:t>
      </w:r>
      <w:r w:rsidR="00C25F54" w:rsidRPr="00E400C2">
        <w:t>trakční</w:t>
      </w:r>
      <w:r w:rsidRPr="00E400C2">
        <w:t xml:space="preserve"> </w:t>
      </w:r>
      <w:r w:rsidR="00C008CC">
        <w:t>vedení</w:t>
      </w:r>
      <w:r w:rsidRPr="00E400C2">
        <w:t xml:space="preserve"> </w:t>
      </w:r>
      <w:r w:rsidR="00C25F54" w:rsidRPr="00E400C2">
        <w:t>částečně</w:t>
      </w:r>
      <w:r w:rsidRPr="00E400C2">
        <w:t xml:space="preserve"> </w:t>
      </w:r>
      <w:r w:rsidR="00C25F54" w:rsidRPr="00E400C2">
        <w:t>rekonstruováno</w:t>
      </w:r>
      <w:r w:rsidRPr="00E400C2">
        <w:t xml:space="preserve"> a</w:t>
      </w:r>
      <w:r w:rsidR="00E400C2">
        <w:t xml:space="preserve"> </w:t>
      </w:r>
      <w:r w:rsidR="00C25F54" w:rsidRPr="00E400C2">
        <w:t>upravováno</w:t>
      </w:r>
      <w:r w:rsidRPr="00E400C2">
        <w:t xml:space="preserve"> při </w:t>
      </w:r>
      <w:r w:rsidR="00C25F54" w:rsidRPr="00E400C2">
        <w:t>obnovách</w:t>
      </w:r>
      <w:r w:rsidR="007A3CD6">
        <w:t xml:space="preserve"> kolejí</w:t>
      </w:r>
      <w:r w:rsidRPr="00E400C2">
        <w:t xml:space="preserve"> a </w:t>
      </w:r>
      <w:r w:rsidR="00C25F54" w:rsidRPr="00E400C2">
        <w:t>výhybek</w:t>
      </w:r>
      <w:r w:rsidRPr="00E400C2">
        <w:t xml:space="preserve">, v </w:t>
      </w:r>
      <w:r w:rsidR="00C25F54" w:rsidRPr="00E400C2">
        <w:t>rámci</w:t>
      </w:r>
      <w:r w:rsidRPr="00E400C2">
        <w:t xml:space="preserve"> sanac</w:t>
      </w:r>
      <w:r w:rsidR="007A3CD6">
        <w:t xml:space="preserve">e </w:t>
      </w:r>
      <w:r w:rsidR="00C25F54" w:rsidRPr="00E400C2">
        <w:t>poklesových</w:t>
      </w:r>
      <w:r w:rsidRPr="00E400C2">
        <w:t xml:space="preserve"> kotlin, při</w:t>
      </w:r>
      <w:r w:rsidR="00E400C2">
        <w:t xml:space="preserve"> </w:t>
      </w:r>
      <w:r w:rsidR="00C25F54" w:rsidRPr="00E400C2">
        <w:t>rekonstrukcích</w:t>
      </w:r>
      <w:r w:rsidRPr="00E400C2">
        <w:t>, při dotrolejov</w:t>
      </w:r>
      <w:r w:rsidR="00EB17F2">
        <w:t>ání</w:t>
      </w:r>
      <w:r w:rsidRPr="00E400C2">
        <w:t xml:space="preserve"> kole</w:t>
      </w:r>
      <w:r w:rsidR="00EB17F2">
        <w:t>jí</w:t>
      </w:r>
      <w:r w:rsidRPr="00E400C2">
        <w:t xml:space="preserve"> a při </w:t>
      </w:r>
      <w:r w:rsidR="00C25F54" w:rsidRPr="00E400C2">
        <w:t>úpravách</w:t>
      </w:r>
      <w:r w:rsidRPr="00E400C2">
        <w:t xml:space="preserve"> v </w:t>
      </w:r>
      <w:r w:rsidR="00C25F54" w:rsidRPr="00E400C2">
        <w:t>rámci</w:t>
      </w:r>
      <w:r w:rsidRPr="00E400C2">
        <w:t xml:space="preserve"> stavby </w:t>
      </w:r>
      <w:r w:rsidR="00C25F54" w:rsidRPr="00E400C2">
        <w:t>silničních</w:t>
      </w:r>
      <w:r w:rsidRPr="00E400C2">
        <w:t xml:space="preserve"> nadjezdů.</w:t>
      </w:r>
    </w:p>
    <w:p w:rsidR="00E400C2" w:rsidRDefault="00C25F54" w:rsidP="00E400C2">
      <w:r w:rsidRPr="00E400C2">
        <w:t>Trakční</w:t>
      </w:r>
      <w:r w:rsidR="00795025" w:rsidRPr="00E400C2">
        <w:t xml:space="preserve"> podpěry jsou </w:t>
      </w:r>
      <w:r w:rsidRPr="00E400C2">
        <w:t>převážně</w:t>
      </w:r>
      <w:r w:rsidR="00795025" w:rsidRPr="00E400C2">
        <w:t xml:space="preserve"> </w:t>
      </w:r>
      <w:r w:rsidRPr="00E400C2">
        <w:t>původní</w:t>
      </w:r>
      <w:r w:rsidR="00795025" w:rsidRPr="00E400C2">
        <w:t xml:space="preserve"> (mimo žst. Svinov a </w:t>
      </w:r>
      <w:r w:rsidRPr="00E400C2">
        <w:t>severního</w:t>
      </w:r>
      <w:r w:rsidR="00795025" w:rsidRPr="00E400C2">
        <w:t xml:space="preserve"> </w:t>
      </w:r>
      <w:r w:rsidRPr="00E400C2">
        <w:t>zhlaví</w:t>
      </w:r>
      <w:r w:rsidR="00795025" w:rsidRPr="00E400C2">
        <w:t xml:space="preserve"> žst. Ostrava, kde</w:t>
      </w:r>
      <w:r w:rsidR="00E400C2">
        <w:t xml:space="preserve"> </w:t>
      </w:r>
      <w:r w:rsidR="00795025" w:rsidRPr="00E400C2">
        <w:t xml:space="preserve">proběhla rekonstrukce ve stavbě Modernizace </w:t>
      </w:r>
      <w:r w:rsidRPr="00E400C2">
        <w:t>Studénka</w:t>
      </w:r>
      <w:r w:rsidR="00795025" w:rsidRPr="00E400C2">
        <w:t xml:space="preserve"> – Ostrava) a </w:t>
      </w:r>
      <w:r w:rsidRPr="00E400C2">
        <w:t>frýdeckého</w:t>
      </w:r>
      <w:r w:rsidR="00795025" w:rsidRPr="00E400C2">
        <w:t xml:space="preserve"> </w:t>
      </w:r>
      <w:r w:rsidRPr="00E400C2">
        <w:t>nástupiště</w:t>
      </w:r>
      <w:r w:rsidR="00795025" w:rsidRPr="00E400C2">
        <w:t>,</w:t>
      </w:r>
      <w:r w:rsidR="00E400C2">
        <w:t xml:space="preserve"> </w:t>
      </w:r>
      <w:r w:rsidRPr="00E400C2">
        <w:t>které</w:t>
      </w:r>
      <w:r w:rsidR="00795025" w:rsidRPr="00E400C2">
        <w:t xml:space="preserve"> bylo </w:t>
      </w:r>
      <w:r w:rsidRPr="00E400C2">
        <w:t>elektrizováno</w:t>
      </w:r>
      <w:r w:rsidR="00795025" w:rsidRPr="00E400C2">
        <w:t xml:space="preserve"> ve stavbě Elektrizace Ostrava – Kunčice).</w:t>
      </w:r>
    </w:p>
    <w:p w:rsidR="00795025" w:rsidRPr="00E400C2" w:rsidRDefault="00C25F54" w:rsidP="00E400C2">
      <w:r w:rsidRPr="00E400C2">
        <w:t>Celkový</w:t>
      </w:r>
      <w:r w:rsidR="00795025" w:rsidRPr="00E400C2">
        <w:t xml:space="preserve"> stav TV </w:t>
      </w:r>
      <w:r w:rsidRPr="00E400C2">
        <w:t>odpovídá</w:t>
      </w:r>
      <w:r w:rsidR="00795025" w:rsidRPr="00E400C2">
        <w:t xml:space="preserve"> době provozu a tehdy </w:t>
      </w:r>
      <w:r w:rsidRPr="00E400C2">
        <w:t>platným</w:t>
      </w:r>
      <w:r w:rsidR="00795025" w:rsidRPr="00E400C2">
        <w:t xml:space="preserve"> </w:t>
      </w:r>
      <w:r w:rsidRPr="00E400C2">
        <w:t>normám</w:t>
      </w:r>
      <w:r w:rsidR="00795025" w:rsidRPr="00E400C2">
        <w:t xml:space="preserve"> a předpisům. </w:t>
      </w:r>
      <w:r w:rsidRPr="00E400C2">
        <w:t>Trakční</w:t>
      </w:r>
      <w:r w:rsidR="00795025" w:rsidRPr="00E400C2">
        <w:t xml:space="preserve"> </w:t>
      </w:r>
      <w:r w:rsidR="00C008CC">
        <w:t>vedení</w:t>
      </w:r>
      <w:r w:rsidR="00E400C2">
        <w:t xml:space="preserve"> </w:t>
      </w:r>
      <w:r w:rsidR="00795025" w:rsidRPr="00E400C2">
        <w:t xml:space="preserve">tratě Ostrava Svinov – Ostrava </w:t>
      </w:r>
      <w:r w:rsidR="000F38E0">
        <w:t>hl.n.</w:t>
      </w:r>
      <w:r w:rsidR="00795025" w:rsidRPr="00E400C2">
        <w:t xml:space="preserve"> a žst. Ostrava </w:t>
      </w:r>
      <w:r w:rsidR="000F38E0">
        <w:t>hl.n.</w:t>
      </w:r>
      <w:r w:rsidR="00795025" w:rsidRPr="00E400C2">
        <w:t xml:space="preserve"> je </w:t>
      </w:r>
      <w:r w:rsidRPr="00E400C2">
        <w:t>morálně</w:t>
      </w:r>
      <w:r w:rsidR="00795025" w:rsidRPr="00E400C2">
        <w:t xml:space="preserve"> a technicky zastaral</w:t>
      </w:r>
      <w:r w:rsidR="00EB17F2">
        <w:t>é</w:t>
      </w:r>
      <w:r w:rsidR="00795025" w:rsidRPr="00E400C2">
        <w:t>,</w:t>
      </w:r>
      <w:r w:rsidR="00E400C2">
        <w:t xml:space="preserve"> </w:t>
      </w:r>
      <w:r w:rsidR="00795025" w:rsidRPr="00E400C2">
        <w:t xml:space="preserve">nesplňuje </w:t>
      </w:r>
      <w:r w:rsidRPr="00E400C2">
        <w:t>provozní</w:t>
      </w:r>
      <w:r w:rsidR="00795025" w:rsidRPr="00E400C2">
        <w:t xml:space="preserve"> a </w:t>
      </w:r>
      <w:r w:rsidRPr="00E400C2">
        <w:t>bezpečnostní</w:t>
      </w:r>
      <w:r w:rsidR="00795025" w:rsidRPr="00E400C2">
        <w:t xml:space="preserve"> požadavky, </w:t>
      </w:r>
      <w:r w:rsidRPr="00E400C2">
        <w:t>kladené</w:t>
      </w:r>
      <w:r w:rsidR="00795025" w:rsidRPr="00E400C2">
        <w:t xml:space="preserve"> na </w:t>
      </w:r>
      <w:r w:rsidRPr="00E400C2">
        <w:t>zařízení</w:t>
      </w:r>
      <w:r w:rsidR="00795025" w:rsidRPr="00E400C2">
        <w:t xml:space="preserve"> </w:t>
      </w:r>
      <w:r w:rsidRPr="00E400C2">
        <w:t>moderních</w:t>
      </w:r>
      <w:r w:rsidR="00795025" w:rsidRPr="00E400C2">
        <w:t xml:space="preserve"> </w:t>
      </w:r>
      <w:r w:rsidRPr="00E400C2">
        <w:t>železničních</w:t>
      </w:r>
      <w:r w:rsidR="00795025" w:rsidRPr="00E400C2">
        <w:t xml:space="preserve"> trati</w:t>
      </w:r>
      <w:r w:rsidR="00E400C2">
        <w:t xml:space="preserve"> </w:t>
      </w:r>
      <w:r w:rsidR="00795025" w:rsidRPr="00E400C2">
        <w:t xml:space="preserve">s parametry pro </w:t>
      </w:r>
      <w:r w:rsidRPr="00E400C2">
        <w:t>vyšší</w:t>
      </w:r>
      <w:r w:rsidR="00795025" w:rsidRPr="00E400C2">
        <w:t xml:space="preserve"> rychlosti.</w:t>
      </w:r>
    </w:p>
    <w:p w:rsidR="00795025" w:rsidRPr="00E400C2" w:rsidRDefault="00C25F54" w:rsidP="00E400C2">
      <w:r w:rsidRPr="00E400C2">
        <w:t>Napájecí</w:t>
      </w:r>
      <w:r w:rsidR="00795025" w:rsidRPr="00E400C2">
        <w:t xml:space="preserve"> body </w:t>
      </w:r>
      <w:r w:rsidRPr="00E400C2">
        <w:t>trakčního</w:t>
      </w:r>
      <w:r w:rsidR="00795025" w:rsidRPr="00E400C2">
        <w:t xml:space="preserve"> </w:t>
      </w:r>
      <w:r w:rsidR="00C008CC">
        <w:t>vedení</w:t>
      </w:r>
      <w:r w:rsidR="00795025" w:rsidRPr="00E400C2">
        <w:t xml:space="preserve"> jsou:</w:t>
      </w:r>
    </w:p>
    <w:p w:rsidR="00795025" w:rsidRPr="00E400C2" w:rsidRDefault="00795025" w:rsidP="00D62572">
      <w:pPr>
        <w:pStyle w:val="Odstavecseseznamem"/>
        <w:numPr>
          <w:ilvl w:val="0"/>
          <w:numId w:val="36"/>
        </w:numPr>
      </w:pPr>
      <w:r w:rsidRPr="00E400C2">
        <w:t>SpS Polanka nad Odrou</w:t>
      </w:r>
    </w:p>
    <w:p w:rsidR="00E400C2" w:rsidRDefault="00795025" w:rsidP="00D62572">
      <w:pPr>
        <w:pStyle w:val="Odstavecseseznamem"/>
        <w:numPr>
          <w:ilvl w:val="0"/>
          <w:numId w:val="36"/>
        </w:numPr>
      </w:pPr>
      <w:r w:rsidRPr="00E400C2">
        <w:t>TM Ostrava Svinov</w:t>
      </w:r>
    </w:p>
    <w:p w:rsidR="00795025" w:rsidRPr="00E400C2" w:rsidRDefault="00795025" w:rsidP="00D62572">
      <w:pPr>
        <w:pStyle w:val="Odstavecseseznamem"/>
        <w:numPr>
          <w:ilvl w:val="0"/>
          <w:numId w:val="36"/>
        </w:numPr>
      </w:pPr>
      <w:r w:rsidRPr="00E400C2">
        <w:t>SpS Ostrava</w:t>
      </w:r>
    </w:p>
    <w:p w:rsidR="00795025" w:rsidRPr="00E400C2" w:rsidRDefault="00795025" w:rsidP="00E400C2">
      <w:r w:rsidRPr="00E400C2">
        <w:lastRenderedPageBreak/>
        <w:t>Trať č. 321 (žst. Ostrava Kunčice - odb. Odra)</w:t>
      </w:r>
    </w:p>
    <w:p w:rsidR="00795025" w:rsidRPr="00E400C2" w:rsidRDefault="00795025" w:rsidP="00E400C2">
      <w:r w:rsidRPr="00E400C2">
        <w:t>Dotčen</w:t>
      </w:r>
      <w:r w:rsidR="00EB17F2">
        <w:t>ý</w:t>
      </w:r>
      <w:r w:rsidRPr="00E400C2">
        <w:t xml:space="preserve"> usek je </w:t>
      </w:r>
      <w:r w:rsidR="00C25F54" w:rsidRPr="00E400C2">
        <w:t>elektrizován</w:t>
      </w:r>
      <w:r w:rsidRPr="00E400C2">
        <w:t xml:space="preserve"> stejnosměrnou </w:t>
      </w:r>
      <w:r w:rsidR="00C25F54" w:rsidRPr="00E400C2">
        <w:t>trakční</w:t>
      </w:r>
      <w:r w:rsidRPr="00E400C2">
        <w:t xml:space="preserve"> soustavou DC 3kV. </w:t>
      </w:r>
      <w:r w:rsidR="00C25F54" w:rsidRPr="00E400C2">
        <w:t>Původní</w:t>
      </w:r>
      <w:r w:rsidRPr="00E400C2">
        <w:t xml:space="preserve"> </w:t>
      </w:r>
      <w:r w:rsidR="00C25F54" w:rsidRPr="00E400C2">
        <w:t>trakční</w:t>
      </w:r>
      <w:r w:rsidRPr="00E400C2">
        <w:t xml:space="preserve"> </w:t>
      </w:r>
      <w:r w:rsidR="00C008CC">
        <w:t>vedení</w:t>
      </w:r>
      <w:r w:rsidR="00E400C2">
        <w:t xml:space="preserve"> </w:t>
      </w:r>
      <w:r w:rsidRPr="00E400C2">
        <w:t xml:space="preserve">bylo </w:t>
      </w:r>
      <w:r w:rsidR="00C25F54" w:rsidRPr="00E400C2">
        <w:t>vybudováno</w:t>
      </w:r>
      <w:r w:rsidRPr="00E400C2">
        <w:t xml:space="preserve"> v roce 1965. Během provozu bylo </w:t>
      </w:r>
      <w:r w:rsidR="00C25F54" w:rsidRPr="00E400C2">
        <w:t>trakční</w:t>
      </w:r>
      <w:r w:rsidRPr="00E400C2">
        <w:t xml:space="preserve"> </w:t>
      </w:r>
      <w:r w:rsidR="00C008CC">
        <w:t>vedení</w:t>
      </w:r>
      <w:r w:rsidRPr="00E400C2">
        <w:t xml:space="preserve"> </w:t>
      </w:r>
      <w:r w:rsidR="00C25F54" w:rsidRPr="00E400C2">
        <w:t>částečně</w:t>
      </w:r>
      <w:r w:rsidRPr="00E400C2">
        <w:t xml:space="preserve"> </w:t>
      </w:r>
      <w:r w:rsidR="00C25F54" w:rsidRPr="00E400C2">
        <w:t>rekonstruováno</w:t>
      </w:r>
      <w:r w:rsidRPr="00E400C2">
        <w:t xml:space="preserve"> a</w:t>
      </w:r>
      <w:r w:rsidR="00E400C2">
        <w:t xml:space="preserve"> </w:t>
      </w:r>
      <w:r w:rsidR="00C25F54" w:rsidRPr="00E400C2">
        <w:t>upravováno</w:t>
      </w:r>
      <w:r w:rsidRPr="00E400C2">
        <w:t xml:space="preserve"> při </w:t>
      </w:r>
      <w:r w:rsidR="00C25F54" w:rsidRPr="00E400C2">
        <w:t>obnovách</w:t>
      </w:r>
      <w:r w:rsidRPr="00E400C2">
        <w:t xml:space="preserve"> kolej</w:t>
      </w:r>
      <w:r w:rsidR="00EB17F2">
        <w:t>í</w:t>
      </w:r>
      <w:r w:rsidRPr="00E400C2">
        <w:t xml:space="preserve"> a </w:t>
      </w:r>
      <w:r w:rsidR="00C25F54" w:rsidRPr="00E400C2">
        <w:t>výhybek</w:t>
      </w:r>
      <w:r w:rsidRPr="00E400C2">
        <w:t xml:space="preserve">, v </w:t>
      </w:r>
      <w:r w:rsidR="00C25F54" w:rsidRPr="00E400C2">
        <w:t>rámci</w:t>
      </w:r>
      <w:r w:rsidR="00EB17F2">
        <w:t xml:space="preserve"> sanací</w:t>
      </w:r>
      <w:r w:rsidRPr="00E400C2">
        <w:t xml:space="preserve"> </w:t>
      </w:r>
      <w:r w:rsidR="00C25F54" w:rsidRPr="00E400C2">
        <w:t>poklesových</w:t>
      </w:r>
      <w:r w:rsidRPr="00E400C2">
        <w:t xml:space="preserve"> kotlin.</w:t>
      </w:r>
    </w:p>
    <w:p w:rsidR="00795025" w:rsidRPr="00E400C2" w:rsidRDefault="00C25F54" w:rsidP="00E400C2">
      <w:r w:rsidRPr="00E400C2">
        <w:t>Trakční</w:t>
      </w:r>
      <w:r w:rsidR="00795025" w:rsidRPr="00E400C2">
        <w:t xml:space="preserve"> podpěry jsou </w:t>
      </w:r>
      <w:r w:rsidRPr="00E400C2">
        <w:t>převážně</w:t>
      </w:r>
      <w:r w:rsidR="00795025" w:rsidRPr="00E400C2">
        <w:t xml:space="preserve"> </w:t>
      </w:r>
      <w:r w:rsidRPr="00E400C2">
        <w:t>původní</w:t>
      </w:r>
      <w:r w:rsidR="007A3CD6">
        <w:t xml:space="preserve"> </w:t>
      </w:r>
      <w:r w:rsidR="00795025" w:rsidRPr="00E400C2">
        <w:t xml:space="preserve">mimo žst. Ostrava Kunčice, kde proběhla </w:t>
      </w:r>
      <w:r w:rsidRPr="00E400C2">
        <w:t>částečná</w:t>
      </w:r>
      <w:r w:rsidR="00E400C2">
        <w:t xml:space="preserve"> </w:t>
      </w:r>
      <w:r w:rsidR="00795025" w:rsidRPr="00E400C2">
        <w:t xml:space="preserve">rekonstrukce v roce 2001. </w:t>
      </w:r>
    </w:p>
    <w:p w:rsidR="00795025" w:rsidRPr="00E400C2" w:rsidRDefault="00C25F54" w:rsidP="00E400C2">
      <w:r w:rsidRPr="00E400C2">
        <w:t>Celkový</w:t>
      </w:r>
      <w:r w:rsidR="00795025" w:rsidRPr="00E400C2">
        <w:t xml:space="preserve"> stav TV </w:t>
      </w:r>
      <w:r w:rsidRPr="00E400C2">
        <w:t>odpovídá</w:t>
      </w:r>
      <w:r w:rsidR="00795025" w:rsidRPr="00E400C2">
        <w:t xml:space="preserve"> době provozu a tehdy </w:t>
      </w:r>
      <w:r w:rsidRPr="00E400C2">
        <w:t>platným</w:t>
      </w:r>
      <w:r w:rsidR="00795025" w:rsidRPr="00E400C2">
        <w:t xml:space="preserve"> </w:t>
      </w:r>
      <w:r w:rsidRPr="00E400C2">
        <w:t>normám</w:t>
      </w:r>
      <w:r w:rsidR="00795025" w:rsidRPr="00E400C2">
        <w:t xml:space="preserve"> a předpisům. </w:t>
      </w:r>
      <w:r w:rsidR="00C008CC">
        <w:t>Vedení</w:t>
      </w:r>
      <w:r w:rsidR="00795025" w:rsidRPr="00E400C2">
        <w:t xml:space="preserve"> tratě</w:t>
      </w:r>
      <w:r w:rsidR="00E400C2">
        <w:t xml:space="preserve"> </w:t>
      </w:r>
      <w:r w:rsidR="00795025" w:rsidRPr="00E400C2">
        <w:t xml:space="preserve">Ostrava Kunčice – Ostrava </w:t>
      </w:r>
      <w:r w:rsidRPr="00E400C2">
        <w:t>Vítkovice</w:t>
      </w:r>
      <w:r w:rsidR="00795025" w:rsidRPr="00E400C2">
        <w:t xml:space="preserve"> – odb. Odra – Svinov (Polanka) je </w:t>
      </w:r>
      <w:r w:rsidRPr="00E400C2">
        <w:t>morálně</w:t>
      </w:r>
      <w:r w:rsidR="00795025" w:rsidRPr="00E400C2">
        <w:t xml:space="preserve"> a technicky</w:t>
      </w:r>
      <w:r w:rsidR="00E400C2">
        <w:t xml:space="preserve"> </w:t>
      </w:r>
      <w:r w:rsidR="00795025" w:rsidRPr="00E400C2">
        <w:t>zastaral</w:t>
      </w:r>
      <w:r w:rsidR="00EB17F2">
        <w:t>é</w:t>
      </w:r>
      <w:r w:rsidR="00795025" w:rsidRPr="00E400C2">
        <w:t xml:space="preserve">, nesplňuje </w:t>
      </w:r>
      <w:r w:rsidRPr="00E400C2">
        <w:t>provozní</w:t>
      </w:r>
      <w:r w:rsidR="00795025" w:rsidRPr="00E400C2">
        <w:t xml:space="preserve"> a </w:t>
      </w:r>
      <w:r w:rsidRPr="00E400C2">
        <w:t>bezpečnostní</w:t>
      </w:r>
      <w:r w:rsidR="00795025" w:rsidRPr="00E400C2">
        <w:t xml:space="preserve"> požadavky, </w:t>
      </w:r>
      <w:r w:rsidRPr="00E400C2">
        <w:t>kladené</w:t>
      </w:r>
      <w:r w:rsidR="00795025" w:rsidRPr="00E400C2">
        <w:t xml:space="preserve"> na </w:t>
      </w:r>
      <w:r w:rsidRPr="00E400C2">
        <w:t>zařízení</w:t>
      </w:r>
      <w:r w:rsidR="00795025" w:rsidRPr="00E400C2">
        <w:t xml:space="preserve"> </w:t>
      </w:r>
      <w:r w:rsidRPr="00E400C2">
        <w:t>moderních</w:t>
      </w:r>
      <w:r w:rsidR="00E400C2">
        <w:t xml:space="preserve"> </w:t>
      </w:r>
      <w:r w:rsidRPr="00E400C2">
        <w:t>železničních</w:t>
      </w:r>
      <w:r w:rsidR="00795025" w:rsidRPr="00E400C2">
        <w:t xml:space="preserve"> </w:t>
      </w:r>
      <w:r w:rsidR="00C008CC">
        <w:t>tratí</w:t>
      </w:r>
      <w:r w:rsidR="00795025" w:rsidRPr="00E400C2">
        <w:t xml:space="preserve"> s parametry pro </w:t>
      </w:r>
      <w:r w:rsidRPr="00E400C2">
        <w:t>vyšší</w:t>
      </w:r>
      <w:r w:rsidR="00795025" w:rsidRPr="00E400C2">
        <w:t xml:space="preserve"> rychlosti.</w:t>
      </w:r>
    </w:p>
    <w:p w:rsidR="00795025" w:rsidRPr="00E400C2" w:rsidRDefault="00C25F54" w:rsidP="00E400C2">
      <w:r w:rsidRPr="00E400C2">
        <w:t>Napájecí</w:t>
      </w:r>
      <w:r w:rsidR="00795025" w:rsidRPr="00E400C2">
        <w:t xml:space="preserve"> body </w:t>
      </w:r>
      <w:r w:rsidRPr="00E400C2">
        <w:t>trakčního</w:t>
      </w:r>
      <w:r w:rsidR="00795025" w:rsidRPr="00E400C2">
        <w:t xml:space="preserve"> </w:t>
      </w:r>
      <w:r w:rsidR="00C008CC">
        <w:t>vedení</w:t>
      </w:r>
      <w:r w:rsidR="00795025" w:rsidRPr="00E400C2">
        <w:t xml:space="preserve"> jsou:</w:t>
      </w:r>
    </w:p>
    <w:p w:rsidR="00795025" w:rsidRPr="00E400C2" w:rsidRDefault="00795025" w:rsidP="00D62572">
      <w:pPr>
        <w:pStyle w:val="Odstavecseseznamem"/>
        <w:numPr>
          <w:ilvl w:val="0"/>
          <w:numId w:val="37"/>
        </w:numPr>
      </w:pPr>
      <w:r w:rsidRPr="00E400C2">
        <w:t>TM Vratimov</w:t>
      </w:r>
    </w:p>
    <w:p w:rsidR="00795025" w:rsidRPr="00E400C2" w:rsidRDefault="00795025" w:rsidP="00D62572">
      <w:pPr>
        <w:pStyle w:val="Odstavecseseznamem"/>
        <w:numPr>
          <w:ilvl w:val="0"/>
          <w:numId w:val="37"/>
        </w:numPr>
      </w:pPr>
      <w:r w:rsidRPr="00E400C2">
        <w:t xml:space="preserve">SpS Polanka nad Odrou </w:t>
      </w:r>
    </w:p>
    <w:p w:rsidR="00795025" w:rsidRPr="00E400C2" w:rsidRDefault="00795025" w:rsidP="00E400C2">
      <w:r w:rsidRPr="00E400C2">
        <w:t xml:space="preserve">Trať č. 323 (žst. Ostrava </w:t>
      </w:r>
      <w:r w:rsidR="000F38E0">
        <w:t>hl.n.</w:t>
      </w:r>
      <w:r w:rsidRPr="00E400C2">
        <w:t xml:space="preserve"> - žst. Ostrava - Kunčice)</w:t>
      </w:r>
    </w:p>
    <w:p w:rsidR="00795025" w:rsidRPr="00E400C2" w:rsidRDefault="00795025" w:rsidP="00E400C2">
      <w:r w:rsidRPr="00E400C2">
        <w:t xml:space="preserve">Dotčeny usek je </w:t>
      </w:r>
      <w:r w:rsidR="00C25F54" w:rsidRPr="00E400C2">
        <w:t>elektrizován</w:t>
      </w:r>
      <w:r w:rsidRPr="00E400C2">
        <w:t xml:space="preserve"> stejnosměrnou </w:t>
      </w:r>
      <w:r w:rsidR="00C25F54" w:rsidRPr="00E400C2">
        <w:t>trakční</w:t>
      </w:r>
      <w:r w:rsidRPr="00E400C2">
        <w:t xml:space="preserve"> soustavou DC 3kV. </w:t>
      </w:r>
      <w:r w:rsidR="00C25F54" w:rsidRPr="00E400C2">
        <w:t>Trakční</w:t>
      </w:r>
      <w:r w:rsidRPr="00E400C2">
        <w:t xml:space="preserve"> </w:t>
      </w:r>
      <w:r w:rsidR="00C008CC">
        <w:t>vedení</w:t>
      </w:r>
      <w:r w:rsidRPr="00E400C2">
        <w:t xml:space="preserve"> bylo</w:t>
      </w:r>
      <w:r w:rsidR="00E400C2">
        <w:t xml:space="preserve"> </w:t>
      </w:r>
      <w:r w:rsidR="00C25F54" w:rsidRPr="00E400C2">
        <w:t>vybudováno</w:t>
      </w:r>
      <w:r w:rsidRPr="00E400C2">
        <w:t xml:space="preserve"> v roce 2008 v </w:t>
      </w:r>
      <w:r w:rsidR="00C25F54" w:rsidRPr="00E400C2">
        <w:t>rámci</w:t>
      </w:r>
      <w:r w:rsidRPr="00E400C2">
        <w:t xml:space="preserve"> akce „Elektrizace trať. </w:t>
      </w:r>
      <w:r w:rsidR="00C25F54" w:rsidRPr="00E400C2">
        <w:t>úseku</w:t>
      </w:r>
      <w:r w:rsidRPr="00E400C2">
        <w:t xml:space="preserve"> včetně PEU žst. Ostrava </w:t>
      </w:r>
      <w:r w:rsidR="000F38E0">
        <w:t>hl.n.</w:t>
      </w:r>
      <w:r w:rsidRPr="00E400C2">
        <w:t xml:space="preserve"> -</w:t>
      </w:r>
      <w:r w:rsidR="00E400C2">
        <w:t xml:space="preserve"> </w:t>
      </w:r>
      <w:r w:rsidRPr="00E400C2">
        <w:t xml:space="preserve">žst. Ostrava Kunčice“. </w:t>
      </w:r>
      <w:r w:rsidR="00C25F54" w:rsidRPr="00E400C2">
        <w:t>Stožáry</w:t>
      </w:r>
      <w:r w:rsidRPr="00E400C2">
        <w:t xml:space="preserve"> jsou </w:t>
      </w:r>
      <w:r w:rsidR="00C25F54" w:rsidRPr="00E400C2">
        <w:t>ocelové</w:t>
      </w:r>
      <w:r w:rsidRPr="00E400C2">
        <w:t xml:space="preserve"> </w:t>
      </w:r>
      <w:r w:rsidR="00C25F54" w:rsidRPr="00E400C2">
        <w:t>trubkové</w:t>
      </w:r>
      <w:r w:rsidRPr="00E400C2">
        <w:t xml:space="preserve"> typu TS a </w:t>
      </w:r>
      <w:r w:rsidR="00C25F54" w:rsidRPr="00E400C2">
        <w:t>ocelové</w:t>
      </w:r>
      <w:r w:rsidRPr="00E400C2">
        <w:t xml:space="preserve"> </w:t>
      </w:r>
      <w:r w:rsidR="00C25F54" w:rsidRPr="00E400C2">
        <w:t>příhradové</w:t>
      </w:r>
      <w:r w:rsidRPr="00E400C2">
        <w:t xml:space="preserve"> typu DS a</w:t>
      </w:r>
      <w:r w:rsidR="00E400C2">
        <w:t xml:space="preserve"> </w:t>
      </w:r>
      <w:r w:rsidRPr="00E400C2">
        <w:t xml:space="preserve">BP, u </w:t>
      </w:r>
      <w:r w:rsidR="00C25F54" w:rsidRPr="00E400C2">
        <w:t>hlavních</w:t>
      </w:r>
      <w:r w:rsidRPr="00E400C2">
        <w:t xml:space="preserve"> kolej</w:t>
      </w:r>
      <w:r w:rsidR="00EB17F2">
        <w:t>í</w:t>
      </w:r>
      <w:r w:rsidRPr="00E400C2">
        <w:t xml:space="preserve"> je </w:t>
      </w:r>
      <w:r w:rsidR="000F38E0" w:rsidRPr="00E400C2">
        <w:t>kompenzované</w:t>
      </w:r>
      <w:r w:rsidRPr="00E400C2">
        <w:t xml:space="preserve"> </w:t>
      </w:r>
      <w:r w:rsidR="00C008CC">
        <w:t>vedení</w:t>
      </w:r>
      <w:r w:rsidRPr="00E400C2">
        <w:t xml:space="preserve"> - trolej 150mm2Cu, </w:t>
      </w:r>
      <w:r w:rsidR="000F38E0" w:rsidRPr="00E400C2">
        <w:t>nosné</w:t>
      </w:r>
      <w:r w:rsidRPr="00E400C2">
        <w:t xml:space="preserve"> lano 120mm2Cu, tah</w:t>
      </w:r>
      <w:r w:rsidR="00E400C2">
        <w:t xml:space="preserve"> </w:t>
      </w:r>
      <w:r w:rsidRPr="00E400C2">
        <w:t xml:space="preserve">v troleji i </w:t>
      </w:r>
      <w:r w:rsidR="000F38E0" w:rsidRPr="00E400C2">
        <w:t>nosném</w:t>
      </w:r>
      <w:r w:rsidRPr="00E400C2">
        <w:t xml:space="preserve"> lanu 15kN a </w:t>
      </w:r>
      <w:r w:rsidR="000F38E0" w:rsidRPr="00E400C2">
        <w:t>zesilovací</w:t>
      </w:r>
      <w:r w:rsidRPr="00E400C2">
        <w:t xml:space="preserve"> </w:t>
      </w:r>
      <w:r w:rsidR="00C008CC">
        <w:t>vedení</w:t>
      </w:r>
      <w:r w:rsidRPr="00E400C2">
        <w:t xml:space="preserve"> 120 mm2Cu. Na </w:t>
      </w:r>
      <w:r w:rsidR="000F38E0" w:rsidRPr="00E400C2">
        <w:t>stožárech</w:t>
      </w:r>
      <w:r w:rsidRPr="00E400C2">
        <w:t xml:space="preserve"> je zavěšen </w:t>
      </w:r>
      <w:r w:rsidR="000F38E0" w:rsidRPr="00E400C2">
        <w:t>závěsný</w:t>
      </w:r>
      <w:r w:rsidR="00E400C2">
        <w:t xml:space="preserve"> </w:t>
      </w:r>
      <w:r w:rsidRPr="00E400C2">
        <w:t xml:space="preserve">kabel 22kV pro </w:t>
      </w:r>
      <w:r w:rsidR="00C25F54" w:rsidRPr="00E400C2">
        <w:t>napájení</w:t>
      </w:r>
      <w:r w:rsidRPr="00E400C2">
        <w:t xml:space="preserve"> </w:t>
      </w:r>
      <w:r w:rsidR="000F38E0" w:rsidRPr="00E400C2">
        <w:t>silnoproudých</w:t>
      </w:r>
      <w:r w:rsidRPr="00E400C2">
        <w:t xml:space="preserve"> </w:t>
      </w:r>
      <w:r w:rsidR="00C25F54" w:rsidRPr="00E400C2">
        <w:t>zařízení</w:t>
      </w:r>
      <w:r w:rsidRPr="00E400C2">
        <w:t>.</w:t>
      </w:r>
    </w:p>
    <w:p w:rsidR="00795025" w:rsidRPr="00E400C2" w:rsidRDefault="00C25F54" w:rsidP="00E400C2">
      <w:r w:rsidRPr="00E400C2">
        <w:t>Napájecí</w:t>
      </w:r>
      <w:r w:rsidR="00795025" w:rsidRPr="00E400C2">
        <w:t xml:space="preserve"> body </w:t>
      </w:r>
      <w:r w:rsidRPr="00E400C2">
        <w:t>trakčního</w:t>
      </w:r>
      <w:r w:rsidR="00795025" w:rsidRPr="00E400C2">
        <w:t xml:space="preserve"> </w:t>
      </w:r>
      <w:r w:rsidR="00C008CC">
        <w:t>vedení</w:t>
      </w:r>
      <w:r w:rsidR="00795025" w:rsidRPr="00E400C2">
        <w:t xml:space="preserve"> jsou:</w:t>
      </w:r>
    </w:p>
    <w:p w:rsidR="00795025" w:rsidRPr="00E400C2" w:rsidRDefault="00795025" w:rsidP="00D62572">
      <w:pPr>
        <w:pStyle w:val="Odstavecseseznamem"/>
        <w:numPr>
          <w:ilvl w:val="0"/>
          <w:numId w:val="37"/>
        </w:numPr>
      </w:pPr>
      <w:r w:rsidRPr="00E400C2">
        <w:t xml:space="preserve">SpS Ostrava, </w:t>
      </w:r>
      <w:r w:rsidR="000F38E0" w:rsidRPr="00E400C2">
        <w:t>viz popis</w:t>
      </w:r>
      <w:r w:rsidRPr="00E400C2">
        <w:t xml:space="preserve"> u trati č. 270</w:t>
      </w:r>
    </w:p>
    <w:p w:rsidR="00795025" w:rsidRPr="00E400C2" w:rsidRDefault="00795025" w:rsidP="00D62572">
      <w:pPr>
        <w:pStyle w:val="Odstavecseseznamem"/>
        <w:numPr>
          <w:ilvl w:val="0"/>
          <w:numId w:val="37"/>
        </w:numPr>
      </w:pPr>
      <w:r w:rsidRPr="00E400C2">
        <w:t xml:space="preserve">TM Vratimov, </w:t>
      </w:r>
      <w:r w:rsidR="000F38E0" w:rsidRPr="00E400C2">
        <w:t>viz popis</w:t>
      </w:r>
      <w:r w:rsidRPr="00E400C2">
        <w:t xml:space="preserve"> u trati č. 321</w:t>
      </w:r>
    </w:p>
    <w:p w:rsidR="003A0C8B" w:rsidRDefault="003A0C8B" w:rsidP="003A0C8B">
      <w:pPr>
        <w:pStyle w:val="Nadpis1"/>
      </w:pPr>
      <w:bookmarkStart w:id="10" w:name="_Toc24713937"/>
      <w:bookmarkStart w:id="11" w:name="_Toc40186574"/>
      <w:r>
        <w:t>Kontext, lokalizace a technické řešení projektu</w:t>
      </w:r>
      <w:bookmarkEnd w:id="10"/>
      <w:bookmarkEnd w:id="11"/>
    </w:p>
    <w:p w:rsidR="003A0C8B" w:rsidRDefault="003A0C8B" w:rsidP="003A0C8B">
      <w:pPr>
        <w:pStyle w:val="Nadpis2"/>
      </w:pPr>
      <w:bookmarkStart w:id="12" w:name="_Toc24713938"/>
      <w:bookmarkStart w:id="13" w:name="_Toc40186575"/>
      <w:r>
        <w:t>Cíle a varianty řešení studie proveditelnosti</w:t>
      </w:r>
      <w:bookmarkEnd w:id="12"/>
      <w:bookmarkEnd w:id="13"/>
    </w:p>
    <w:p w:rsidR="0087784D" w:rsidRPr="0061026E" w:rsidRDefault="0087784D" w:rsidP="0087784D">
      <w:r w:rsidRPr="0061026E">
        <w:t>Na základě analýzy provedené v rámci SP byly stanoveny základní cíle, které by měla stavba svou realizací naplnit:</w:t>
      </w:r>
    </w:p>
    <w:p w:rsidR="0087784D" w:rsidRPr="0061026E" w:rsidRDefault="0087784D" w:rsidP="0087784D">
      <w:pPr>
        <w:pStyle w:val="Odstavecseseznamem"/>
        <w:numPr>
          <w:ilvl w:val="0"/>
          <w:numId w:val="4"/>
        </w:numPr>
      </w:pPr>
      <w:r w:rsidRPr="0061026E">
        <w:t>Zlepšení technického stavu a parametrů uzlu Ostrava</w:t>
      </w:r>
    </w:p>
    <w:p w:rsidR="0087784D" w:rsidRPr="0061026E" w:rsidRDefault="0087784D" w:rsidP="0087784D">
      <w:pPr>
        <w:pStyle w:val="Odstavecseseznamem"/>
        <w:numPr>
          <w:ilvl w:val="0"/>
          <w:numId w:val="4"/>
        </w:numPr>
      </w:pPr>
      <w:r w:rsidRPr="0061026E">
        <w:t>Zvýšení provozní efektivity železniční dopravy</w:t>
      </w:r>
    </w:p>
    <w:p w:rsidR="0087784D" w:rsidRPr="0061026E" w:rsidRDefault="0087784D" w:rsidP="0087784D">
      <w:pPr>
        <w:pStyle w:val="Odstavecseseznamem"/>
        <w:numPr>
          <w:ilvl w:val="0"/>
          <w:numId w:val="4"/>
        </w:numPr>
      </w:pPr>
      <w:r w:rsidRPr="0061026E">
        <w:t>Zvýšení spolehlivosti železniční dopravy</w:t>
      </w:r>
    </w:p>
    <w:p w:rsidR="0087784D" w:rsidRPr="0061026E" w:rsidRDefault="0087784D" w:rsidP="0087784D">
      <w:pPr>
        <w:pStyle w:val="Odstavecseseznamem"/>
        <w:numPr>
          <w:ilvl w:val="0"/>
          <w:numId w:val="4"/>
        </w:numPr>
      </w:pPr>
      <w:r w:rsidRPr="0061026E">
        <w:t>Snížení negativních vlivů z železniční dopravy na životní prostředí a zdraví obyvatelstva</w:t>
      </w:r>
    </w:p>
    <w:p w:rsidR="0087784D" w:rsidRPr="0061026E" w:rsidRDefault="0087784D" w:rsidP="0087784D">
      <w:pPr>
        <w:pStyle w:val="Odstavecseseznamem"/>
        <w:numPr>
          <w:ilvl w:val="0"/>
          <w:numId w:val="4"/>
        </w:numPr>
      </w:pPr>
      <w:r w:rsidRPr="0061026E">
        <w:t>Zvýšení bezpečnosti železničního provozu a cestujících</w:t>
      </w:r>
    </w:p>
    <w:p w:rsidR="0087784D" w:rsidRPr="0061026E" w:rsidRDefault="0087784D" w:rsidP="0087784D">
      <w:pPr>
        <w:pStyle w:val="Odstavecseseznamem"/>
        <w:numPr>
          <w:ilvl w:val="0"/>
          <w:numId w:val="4"/>
        </w:numPr>
      </w:pPr>
      <w:r w:rsidRPr="0061026E">
        <w:t>Zvýšení komfortu a kvality pro cestující v železniční dopravě</w:t>
      </w:r>
    </w:p>
    <w:p w:rsidR="0087784D" w:rsidRPr="0061026E" w:rsidRDefault="0087784D" w:rsidP="0087784D">
      <w:pPr>
        <w:pStyle w:val="Odstavecseseznamem"/>
        <w:numPr>
          <w:ilvl w:val="0"/>
          <w:numId w:val="4"/>
        </w:numPr>
      </w:pPr>
      <w:r w:rsidRPr="0061026E">
        <w:t>Zlepšení dopravní dostupnosti do jednotlivých částí Ostravy</w:t>
      </w:r>
    </w:p>
    <w:p w:rsidR="0087784D" w:rsidRPr="0061026E" w:rsidRDefault="0087784D" w:rsidP="0087784D">
      <w:pPr>
        <w:pStyle w:val="Odstavecseseznamem"/>
        <w:numPr>
          <w:ilvl w:val="0"/>
          <w:numId w:val="4"/>
        </w:numPr>
      </w:pPr>
      <w:r w:rsidRPr="0061026E">
        <w:t>Naplnění požadavků strategických dokumentů (nařízení E. K., vyhlášky, normy směrnice)</w:t>
      </w:r>
    </w:p>
    <w:p w:rsidR="0087784D" w:rsidRPr="0061026E" w:rsidRDefault="0087784D" w:rsidP="0087784D"/>
    <w:p w:rsidR="0087784D" w:rsidRPr="0061026E" w:rsidRDefault="0087784D" w:rsidP="0087784D">
      <w:r w:rsidRPr="0061026E">
        <w:t xml:space="preserve">Na základě prvotní analýzy v rámci SP bylo konstatováno, že do trati č. 321 (883) není třeba zasahovat. Trať je elektrizovaná, dostatečně kapacitní a v minulých letech zde proběhly postupně drobné rekonstrukce. Objednavatelé dopravy navíc nepotřebují navyšovat výrazným způsobem počet vlaků na této trati. Analýza trati 323 (792) jasně poukázala na dva zásadní problémy. Tím je zcela nevhodná konfigurace žst. Ostrava střed s úrovňovým přístupem na nástupiště a nevyhovující délka nástupiště v zast. Ostrava-Stodolní. Zásah na této trati byl tedy omezen na tyto dvě lokality. Zásadním způsobem bylo třeba zasáhnout do trati č. 270 (780), kdy navržená řešení jsou na rozdíl od trati č. 323, variantní. Navržená řešení byla zvolena se snahou naplnění vytýčených cílů. </w:t>
      </w:r>
    </w:p>
    <w:p w:rsidR="00B311D7" w:rsidRDefault="00B311D7" w:rsidP="00B311D7">
      <w:pPr>
        <w:pStyle w:val="Titulek"/>
        <w:keepNext/>
      </w:pPr>
      <w:r>
        <w:lastRenderedPageBreak/>
        <w:t xml:space="preserve">Obrázek </w:t>
      </w:r>
      <w:r w:rsidR="00930879">
        <w:rPr>
          <w:noProof/>
        </w:rPr>
        <w:fldChar w:fldCharType="begin"/>
      </w:r>
      <w:r w:rsidR="00930879">
        <w:rPr>
          <w:noProof/>
        </w:rPr>
        <w:instrText xml:space="preserve"> SEQ Obrázek \* ARABIC </w:instrText>
      </w:r>
      <w:r w:rsidR="00930879">
        <w:rPr>
          <w:noProof/>
        </w:rPr>
        <w:fldChar w:fldCharType="separate"/>
      </w:r>
      <w:r w:rsidR="00EF042C">
        <w:rPr>
          <w:noProof/>
        </w:rPr>
        <w:t>1</w:t>
      </w:r>
      <w:r w:rsidR="00930879">
        <w:rPr>
          <w:noProof/>
        </w:rPr>
        <w:fldChar w:fldCharType="end"/>
      </w:r>
      <w:r>
        <w:t xml:space="preserve"> </w:t>
      </w:r>
      <w:r w:rsidRPr="00193C55">
        <w:t xml:space="preserve">Schéma projektově řešených lokalit </w:t>
      </w:r>
      <w:r>
        <w:t xml:space="preserve">ze SP </w:t>
      </w:r>
      <w:r w:rsidRPr="00193C55">
        <w:t>(ČERVENÁ – variantní úsek, ZELENÁ – invariantní úsek)</w:t>
      </w:r>
    </w:p>
    <w:p w:rsidR="0024489F" w:rsidRPr="004E61A0" w:rsidRDefault="0024489F" w:rsidP="0024489F">
      <w:pPr>
        <w:rPr>
          <w:i/>
          <w:sz w:val="18"/>
          <w:szCs w:val="18"/>
        </w:rPr>
      </w:pPr>
      <w:r w:rsidRPr="004E61A0">
        <w:rPr>
          <w:i/>
          <w:noProof/>
          <w:sz w:val="18"/>
          <w:szCs w:val="18"/>
          <w:lang w:eastAsia="cs-CZ"/>
        </w:rPr>
        <w:drawing>
          <wp:inline distT="0" distB="0" distL="0" distR="0">
            <wp:extent cx="6115050" cy="3838575"/>
            <wp:effectExtent l="0" t="0" r="0" b="9525"/>
            <wp:docPr id="2" name="Obrázek 2" descr="UZEL_inv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ZEL_inv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3838575"/>
                    </a:xfrm>
                    <a:prstGeom prst="rect">
                      <a:avLst/>
                    </a:prstGeom>
                    <a:noFill/>
                    <a:ln>
                      <a:noFill/>
                    </a:ln>
                  </pic:spPr>
                </pic:pic>
              </a:graphicData>
            </a:graphic>
          </wp:inline>
        </w:drawing>
      </w:r>
    </w:p>
    <w:p w:rsidR="00D62572" w:rsidRDefault="00D62572" w:rsidP="00D62572">
      <w:pPr>
        <w:pStyle w:val="Nadpis2"/>
      </w:pPr>
      <w:bookmarkStart w:id="14" w:name="_Toc40186576"/>
      <w:r>
        <w:t>Varianty řešení navržení v rámci SP</w:t>
      </w:r>
      <w:bookmarkEnd w:id="14"/>
    </w:p>
    <w:p w:rsidR="003A0C8B" w:rsidRDefault="003A0C8B" w:rsidP="00AA4948">
      <w:r>
        <w:t>Jako invariantní byly zvoleny úpravy na trati č. 323 (792). Navrženo je prodloužení ostrovního nástupiště v zast. Ostrava-Stodolní a peronizace žst. Ostrava střed. Peronizace spočívá ve vybudování nástupišť s výškou nástupní hrany 550 mm nad temenem kolejnice a zřízení mimoúrovňového přístupu na tato nástupiště. Vzhledem k využití stanice bylo možno ponechat stávající konfiguraci nástupišť a ve stanici směrem Ostrava-Kunčice byla pouze doplněna kusá kolej pro odstavování končících vlaků.</w:t>
      </w:r>
    </w:p>
    <w:p w:rsidR="003A0C8B" w:rsidRDefault="003A0C8B" w:rsidP="00AA4948">
      <w:r>
        <w:t xml:space="preserve">Jako invariantní bylo rovněž navrženo zapojení třetí koleje do žst. Ostrava-Svinov. Doplnění této koleje řeší problém s kapacitou traťového úseku Ostrava-Svinov – Ostrava </w:t>
      </w:r>
      <w:r w:rsidR="000F38E0">
        <w:t>hl.n.</w:t>
      </w:r>
      <w:r>
        <w:t xml:space="preserve"> a invariantní úsek je ukončen v místě pod estakádou dálnice D1. Dále bylo jako invariantní navrženo řešení v obvodu Uhelného nádraží a kunčického zhlaví Báňského nádraží v žst. Ostrava </w:t>
      </w:r>
      <w:r w:rsidR="000F38E0">
        <w:t>hl.n.</w:t>
      </w:r>
      <w:r>
        <w:t xml:space="preserve"> Variantnost se tedy týká pouze trati č. 270 (780) v úseku od dálnice D1 (km 262,9) po bohumínské zhlaví Osobního nádraží žst. Ostrava </w:t>
      </w:r>
      <w:r w:rsidR="000F38E0">
        <w:t>hl.n.</w:t>
      </w:r>
      <w:r>
        <w:t xml:space="preserve"> Výjezd směr Bohumín (mosty přes Ostravici) a doplnění nového mostu pro nákladní vlaky je opět invariantní.</w:t>
      </w:r>
    </w:p>
    <w:p w:rsidR="003A0C8B" w:rsidRDefault="003A0C8B" w:rsidP="00AA4948">
      <w:r>
        <w:t>Popis níže je vztažen pouze na variantní úsek (km 262,9 – km 268,5). Ostatní výše uvedené invariantní úpravy jsou součástí každé z uvedených variant.</w:t>
      </w:r>
    </w:p>
    <w:p w:rsidR="00B311D7" w:rsidRDefault="00B61AF4" w:rsidP="00AA4948">
      <w:r w:rsidRPr="00B311D7">
        <w:rPr>
          <w:rFonts w:asciiTheme="majorHAnsi" w:eastAsiaTheme="majorEastAsia" w:hAnsiTheme="majorHAnsi" w:cstheme="majorBidi"/>
          <w:b/>
          <w:sz w:val="24"/>
          <w:szCs w:val="24"/>
        </w:rPr>
        <w:t>Varianta 1</w:t>
      </w:r>
      <w:r w:rsidRPr="00AA4948">
        <w:t xml:space="preserve"> </w:t>
      </w:r>
    </w:p>
    <w:p w:rsidR="00B61AF4" w:rsidRPr="00AA4948" w:rsidRDefault="00B311D7" w:rsidP="00AA4948">
      <w:r>
        <w:t>V</w:t>
      </w:r>
      <w:r w:rsidR="00B61AF4" w:rsidRPr="00AA4948">
        <w:t> základních obrysech naplňuje vytýčené cíle studie. To znamená:</w:t>
      </w:r>
    </w:p>
    <w:p w:rsidR="00B61AF4" w:rsidRPr="00AA4948" w:rsidRDefault="00B61AF4" w:rsidP="00AA4948">
      <w:r w:rsidRPr="00AA4948">
        <w:t xml:space="preserve">Dopravní uspořádání úseku mezi řekou Odrou a Osobním nádražím Ostrava </w:t>
      </w:r>
      <w:r w:rsidR="000F38E0">
        <w:t>hl.n.</w:t>
      </w:r>
      <w:r w:rsidRPr="00AA4948">
        <w:t xml:space="preserve"> je navrženo jako dvě dvoukolejné tratě s traťovým uspořádáním. Tyto tratě jsou na středním zhlaví vzájemně propojeny, ale primárně se zde dělí na směr Bohumín a směr Ostrava-Kunčice.</w:t>
      </w:r>
    </w:p>
    <w:p w:rsidR="00B61AF4" w:rsidRPr="00AA4948" w:rsidRDefault="00AA4948" w:rsidP="00AA4948">
      <w:r w:rsidRPr="00AA4948">
        <w:t>D</w:t>
      </w:r>
      <w:r w:rsidR="00B61AF4" w:rsidRPr="00AA4948">
        <w:t xml:space="preserve">o posouzení </w:t>
      </w:r>
      <w:r w:rsidRPr="00AA4948">
        <w:t xml:space="preserve">bylo </w:t>
      </w:r>
      <w:r w:rsidR="00B61AF4" w:rsidRPr="00AA4948">
        <w:t xml:space="preserve">v rámci podvariant doplněno posouzení zrušení </w:t>
      </w:r>
      <w:r w:rsidRPr="00AA4948">
        <w:t>dvou zastávek</w:t>
      </w:r>
      <w:r w:rsidR="00B61AF4" w:rsidRPr="00AA4948">
        <w:t>:</w:t>
      </w:r>
    </w:p>
    <w:p w:rsidR="00B61AF4" w:rsidRPr="00AA4948" w:rsidRDefault="00B61AF4" w:rsidP="00FF7D35">
      <w:pPr>
        <w:pStyle w:val="Odstavecseseznamem"/>
        <w:numPr>
          <w:ilvl w:val="0"/>
          <w:numId w:val="5"/>
        </w:numPr>
      </w:pPr>
      <w:r w:rsidRPr="00AA4948">
        <w:t>Ostrava-Mariánské Hory ležící v prostoru seřaďovacích nádraží z důvodu velmi nízké frekvence cestujících – Varianta 1a</w:t>
      </w:r>
    </w:p>
    <w:p w:rsidR="00B61AF4" w:rsidRPr="00AA4948" w:rsidRDefault="00B61AF4" w:rsidP="00FF7D35">
      <w:pPr>
        <w:pStyle w:val="Odstavecseseznamem"/>
        <w:numPr>
          <w:ilvl w:val="0"/>
          <w:numId w:val="5"/>
        </w:numPr>
      </w:pPr>
      <w:r w:rsidRPr="00AA4948">
        <w:t>Ostrava-Kunčičky ležící na trati č. 323 rovněž s nízkou frekvencí cestujících – Varianta 1b</w:t>
      </w:r>
    </w:p>
    <w:p w:rsidR="00B61AF4" w:rsidRPr="00AA4948" w:rsidRDefault="00B61AF4" w:rsidP="00AA4948">
      <w:r w:rsidRPr="00AA4948">
        <w:lastRenderedPageBreak/>
        <w:t>Druhou skupinou podvariant je posouzení dopadu vysokorychlostních tratí (VRT) přivedených do uzlu. Jedná se tedy o posouzení dlouhodobého horizontu. Již z předchozích dokumentací lze konstatovat, že průjezd VRT uzlem Ostrava bude realizován jako konvenční železnice. Pro možné posouzení se tedy nabízí dva druhy uspořádání:</w:t>
      </w:r>
    </w:p>
    <w:p w:rsidR="00B61AF4" w:rsidRPr="00AA4948" w:rsidRDefault="00B61AF4" w:rsidP="00FF7D35">
      <w:pPr>
        <w:pStyle w:val="Odstavecseseznamem"/>
        <w:numPr>
          <w:ilvl w:val="0"/>
          <w:numId w:val="5"/>
        </w:numPr>
      </w:pPr>
      <w:r w:rsidRPr="00AA4948">
        <w:t>traťové uspořádání – Varianta 1c</w:t>
      </w:r>
    </w:p>
    <w:p w:rsidR="00B61AF4" w:rsidRPr="00AA4948" w:rsidRDefault="00B61AF4" w:rsidP="00FF7D35">
      <w:pPr>
        <w:pStyle w:val="Odstavecseseznamem"/>
        <w:numPr>
          <w:ilvl w:val="0"/>
          <w:numId w:val="5"/>
        </w:numPr>
      </w:pPr>
      <w:r w:rsidRPr="00AA4948">
        <w:t>směrové uspořádání – Varianta 1d</w:t>
      </w:r>
    </w:p>
    <w:p w:rsidR="00B61AF4" w:rsidRPr="004E61A0" w:rsidRDefault="00B61AF4" w:rsidP="00B61AF4">
      <w:pPr>
        <w:pStyle w:val="Nadpis3"/>
        <w:numPr>
          <w:ilvl w:val="2"/>
          <w:numId w:val="0"/>
        </w:numPr>
        <w:ind w:left="1214" w:hanging="504"/>
      </w:pPr>
      <w:bookmarkStart w:id="15" w:name="_Toc40186577"/>
      <w:r w:rsidRPr="004E61A0">
        <w:t>Varianta 2</w:t>
      </w:r>
      <w:bookmarkEnd w:id="15"/>
    </w:p>
    <w:p w:rsidR="00B61AF4" w:rsidRPr="00AA4948" w:rsidRDefault="00B61AF4" w:rsidP="00AA4948">
      <w:r w:rsidRPr="00AA4948">
        <w:t>Z důvodu předpokladu technických obtíží a výrazných finančních nároků přesmyku byla pro další posouzení zvolena úrovňová koncepce křížení, ovšem při uvažování maximálních možných rychlostí pro eliminaci vzájemných rušících dob. Současně byla upravena konfigurace středního zhlaví, aby koleje primárně sloužící pro směr Ostrava střed mohly variantně sloužit i pro směr Bohumín s možnými souběžnými jízdami (ze všech čtyř kolejí). Mimo přesmyku tato varianta naplňuje všechny základní vytýčené cíle jako varianta 1.</w:t>
      </w:r>
    </w:p>
    <w:p w:rsidR="00B61AF4" w:rsidRPr="00AA4948" w:rsidRDefault="00B61AF4" w:rsidP="00AA4948">
      <w:r w:rsidRPr="00AA4948">
        <w:t>Od řeky Odry směr Osobní nádraží je uspořádání navržené jako čtyřkolejná trať bez primárního určení směrů, kdy na středním zhlaví odbočuje díky plnému dopravnímu programu z trati č. 270 trať směr Ostrava-Kunčice. Dopravní uspořádání ale proti Variantě 1 umožňuje přímou současnou jízdu ze všech čtyř traťových kolejí do Osobního nádraží.</w:t>
      </w:r>
    </w:p>
    <w:p w:rsidR="00B61AF4" w:rsidRPr="00AA4948" w:rsidRDefault="00B61AF4" w:rsidP="00AA4948">
      <w:r w:rsidRPr="00AA4948">
        <w:t>Jelikož se jedná o jednu z klíčových variant, přichází v úvahu posouzení vlivu VRT obdobně jako ve Variantě 1, tedy:</w:t>
      </w:r>
    </w:p>
    <w:p w:rsidR="00B61AF4" w:rsidRPr="00AA4948" w:rsidRDefault="00B61AF4" w:rsidP="00FF7D35">
      <w:pPr>
        <w:pStyle w:val="Odstavecseseznamem"/>
        <w:numPr>
          <w:ilvl w:val="0"/>
          <w:numId w:val="6"/>
        </w:numPr>
      </w:pPr>
      <w:r w:rsidRPr="00AA4948">
        <w:t>traťové uspořádání – Varianta 2a</w:t>
      </w:r>
    </w:p>
    <w:p w:rsidR="00B61AF4" w:rsidRPr="00AA4948" w:rsidRDefault="00B61AF4" w:rsidP="00FF7D35">
      <w:pPr>
        <w:pStyle w:val="Odstavecseseznamem"/>
        <w:numPr>
          <w:ilvl w:val="0"/>
          <w:numId w:val="6"/>
        </w:numPr>
      </w:pPr>
      <w:r w:rsidRPr="00AA4948">
        <w:t>směrové uspořádání – Varianta 2b</w:t>
      </w:r>
    </w:p>
    <w:p w:rsidR="00B61AF4" w:rsidRPr="004E61A0" w:rsidRDefault="00B61AF4" w:rsidP="00B61AF4">
      <w:pPr>
        <w:pStyle w:val="Nadpis3"/>
        <w:numPr>
          <w:ilvl w:val="2"/>
          <w:numId w:val="0"/>
        </w:numPr>
        <w:ind w:left="1214" w:hanging="504"/>
      </w:pPr>
      <w:bookmarkStart w:id="16" w:name="_Toc40186578"/>
      <w:r w:rsidRPr="004E61A0">
        <w:t>Varianta 3</w:t>
      </w:r>
      <w:bookmarkEnd w:id="16"/>
    </w:p>
    <w:p w:rsidR="00B61AF4" w:rsidRPr="00AA4948" w:rsidRDefault="00B61AF4" w:rsidP="00AA4948">
      <w:r w:rsidRPr="00AA4948">
        <w:t>Varianta 3 vychází koncepčně z uspořádání osobní stanice ve variantě 2, kterou doplňuje o přesmyk. Navržená konfigurace tedy umožňuje variabilní vedení vlakových cest v obvodu Osobního nádraží a současně ruší úrovňovou kolizi směrů. Naplňuje tedy zcela všechny vytýčené základní cíle. Proti variantě 1 nabízí plně tříkolejné uspořádání mezi řekou Odrou a Osobním nádražím. Toto tříkolejné uspořádání je doplněno o další kolej primárně určenou pro směr Ostrava-Kunčice a varianta je podstatně variabilnější než Varianta 1.</w:t>
      </w:r>
    </w:p>
    <w:p w:rsidR="00B61AF4" w:rsidRPr="004E61A0" w:rsidRDefault="00B61AF4" w:rsidP="00B61AF4">
      <w:pPr>
        <w:pStyle w:val="Nadpis3"/>
        <w:numPr>
          <w:ilvl w:val="2"/>
          <w:numId w:val="0"/>
        </w:numPr>
        <w:ind w:left="1214" w:hanging="504"/>
      </w:pPr>
      <w:bookmarkStart w:id="17" w:name="_Toc40186579"/>
      <w:r w:rsidRPr="004E61A0">
        <w:t>Varianta 4</w:t>
      </w:r>
      <w:bookmarkEnd w:id="17"/>
    </w:p>
    <w:p w:rsidR="00B61AF4" w:rsidRPr="00AA4948" w:rsidRDefault="00B61AF4" w:rsidP="00AA4948">
      <w:r w:rsidRPr="00AA4948">
        <w:t xml:space="preserve">Vzhledem k faktu, že uzel Ostrava je obsluhován dvěma klíčovými stanicemi – Ostrava-Svinov a Ostrava </w:t>
      </w:r>
      <w:r w:rsidR="000F38E0">
        <w:t>hl.n.</w:t>
      </w:r>
      <w:r w:rsidRPr="00AA4948">
        <w:t xml:space="preserve">, vzdálenými od sebe pouze 5 km, nabízí se úvaha zrušení obsluhy jedné z těchto stanic dálkovou dopravou. Obsluha regionální dopravou bude zachována v obou stanicích. Vzhledem k frekvenci cestujících byla pro posouzení vybrána jako klíčová stanice Ostrava-Svinov. Základní dopravní uspořádání varianty vychází z Varianty 1 s redukcí nástupišť v bohumínské skupině žst. Ostrava </w:t>
      </w:r>
      <w:r w:rsidR="000F38E0">
        <w:t>hl.n.</w:t>
      </w:r>
      <w:r w:rsidRPr="00AA4948">
        <w:t xml:space="preserve">, kde jsou tranzitní koleje bez nástupní hrany. </w:t>
      </w:r>
    </w:p>
    <w:p w:rsidR="00B61AF4" w:rsidRPr="00B311D7" w:rsidRDefault="00AA4948" w:rsidP="00AA4948">
      <w:pPr>
        <w:rPr>
          <w:b/>
        </w:rPr>
      </w:pPr>
      <w:r w:rsidRPr="00B311D7">
        <w:rPr>
          <w:b/>
        </w:rPr>
        <w:t>Dne 12. 1. 2017 byla Centrální komisí Ministerstva dopravy vybrána pro sledování v dalších stupních přípravy varianta 3.</w:t>
      </w:r>
    </w:p>
    <w:p w:rsidR="0024489F" w:rsidRDefault="0024489F" w:rsidP="0024489F">
      <w:pPr>
        <w:pStyle w:val="Nadpis2"/>
      </w:pPr>
      <w:bookmarkStart w:id="18" w:name="_Toc24713940"/>
      <w:bookmarkStart w:id="19" w:name="_Toc40186580"/>
      <w:r>
        <w:t>Technické řešení</w:t>
      </w:r>
      <w:bookmarkEnd w:id="18"/>
      <w:bookmarkEnd w:id="19"/>
    </w:p>
    <w:p w:rsidR="0087784D" w:rsidRDefault="0087784D" w:rsidP="0087784D">
      <w:r>
        <w:t>Východiskem pro technické řešení modernizace uzlu Ostrav je varianta 3 zpracované SP.</w:t>
      </w:r>
    </w:p>
    <w:p w:rsidR="0087784D" w:rsidRPr="00E44A23" w:rsidRDefault="0087784D" w:rsidP="0087784D">
      <w:pPr>
        <w:rPr>
          <w:b/>
          <w:bCs/>
        </w:rPr>
      </w:pPr>
      <w:r w:rsidRPr="00E44A23">
        <w:rPr>
          <w:b/>
          <w:bCs/>
        </w:rPr>
        <w:t>Varianta s projektem</w:t>
      </w:r>
    </w:p>
    <w:p w:rsidR="0087784D" w:rsidRDefault="0087784D" w:rsidP="0087784D">
      <w:r>
        <w:t xml:space="preserve">Detailně je technické řešení popsáno v záměru projektu. </w:t>
      </w:r>
    </w:p>
    <w:p w:rsidR="0087784D" w:rsidRPr="00E44A23" w:rsidRDefault="0087784D" w:rsidP="0087784D">
      <w:r w:rsidRPr="00E44A23">
        <w:t xml:space="preserve">Délka stavby na koridorové trati Bohumín – Přerov činí 9477 m. Celková délka stavby činí 13 749 m, celková délka hlavních stavebních prací činí 11 948 m, šíře hlavních stavebních prací dosahuje místy až 300 m.   </w:t>
      </w:r>
    </w:p>
    <w:p w:rsidR="0087784D" w:rsidRPr="00E44A23" w:rsidRDefault="0087784D" w:rsidP="0087784D">
      <w:r w:rsidRPr="00E44A23">
        <w:tab/>
        <w:t xml:space="preserve">Kilometrické vymezení rozsahu hlavních stavebních prací zahrnuje navíc i lokality, které nejsou součástí stavby (jsou vynechány). Jedná se o lokalitu Ostrava Svinov, kde přerovské zhlaví je dotčeno </w:t>
      </w:r>
      <w:r w:rsidRPr="00E44A23">
        <w:lastRenderedPageBreak/>
        <w:t>modernizací pouze 2 výhybek, naopak předmětem kompletní modernizace je bohumínské zhlaví. Stavba nezahrnuje převážně taktéž úsek Ostrava hl.n. – Ostrava - Kunčice tratě v km 1,0 – 2,6 (Ostrava hl.n. – báňské nádraží, obvod VOK, spojovací koleje 91, 92, zastávka Ostrava – Stodolní).</w:t>
      </w:r>
    </w:p>
    <w:p w:rsidR="0087784D" w:rsidRPr="00E44A23" w:rsidRDefault="0087784D" w:rsidP="0087784D">
      <w:r w:rsidRPr="00E44A23">
        <w:tab/>
        <w:t>Dále jsou navrženy zásahy nestavebního charakteru zcela mimo lokalitu stavby. Bude provedena úprava stavědlové ústředny v žst. Polanka nad Odrou, vyh. Odra, žst. Bohumín – Vrbice a žst. Ostrava – Kunčice; dálkové ovládání zab. zařízení (DOZ) a sdělovací zař. v CDP Přerov, dispečerská řídící technika (DŘT) a napájení LDSŽ 22kV v trakční měnírně Vratimov; napájení LDSŽ 22 kV v trakční měnírně Svinov a řídící systém v ED Ostrava.</w:t>
      </w:r>
    </w:p>
    <w:p w:rsidR="0087784D" w:rsidRPr="00E44A23" w:rsidRDefault="0087784D" w:rsidP="0087784D">
      <w:r w:rsidRPr="00E44A23">
        <w:tab/>
        <w:t xml:space="preserve">Mimo lokalitu stavby, ve vybraných přilehlých oblastech a na základě akustické studie, budou provedena individuální protihluková opatření – výměna oken.        </w:t>
      </w:r>
    </w:p>
    <w:p w:rsidR="0087784D" w:rsidRPr="00E44A23" w:rsidRDefault="0087784D" w:rsidP="0087784D">
      <w:pPr>
        <w:rPr>
          <w:b/>
          <w:bCs/>
        </w:rPr>
      </w:pPr>
      <w:r w:rsidRPr="00E44A23">
        <w:rPr>
          <w:b/>
          <w:bCs/>
        </w:rPr>
        <w:t>Varianta bez projektu</w:t>
      </w:r>
    </w:p>
    <w:p w:rsidR="0087784D" w:rsidRPr="00AA4948" w:rsidRDefault="0087784D" w:rsidP="0087784D">
      <w:r w:rsidRPr="00AA4948">
        <w:t>Současný stav železniční trati, ve kterém nedojde k realizaci záměru. Ponechává stávající kolejiště</w:t>
      </w:r>
      <w:r>
        <w:t xml:space="preserve"> </w:t>
      </w:r>
      <w:r w:rsidRPr="00AA4948">
        <w:t xml:space="preserve">i staniční technologii beze změny. Na trati </w:t>
      </w:r>
      <w:r>
        <w:t xml:space="preserve">dojde ke kompletní </w:t>
      </w:r>
      <w:r w:rsidRPr="00AA4948">
        <w:t xml:space="preserve">k obměně „dožitého“ materiálu. </w:t>
      </w:r>
      <w:r>
        <w:t>Ú</w:t>
      </w:r>
      <w:r w:rsidRPr="00AA4948">
        <w:t>držbové práce</w:t>
      </w:r>
      <w:r>
        <w:t xml:space="preserve"> jsou prováděny</w:t>
      </w:r>
      <w:r w:rsidRPr="00AA4948">
        <w:t xml:space="preserve"> ve shodném rozsahu jako </w:t>
      </w:r>
      <w:r>
        <w:t xml:space="preserve">v </w:t>
      </w:r>
      <w:r w:rsidRPr="00AA4948">
        <w:t>minulých</w:t>
      </w:r>
      <w:r>
        <w:t xml:space="preserve"> </w:t>
      </w:r>
      <w:r w:rsidRPr="00AA4948">
        <w:t>letech.</w:t>
      </w:r>
    </w:p>
    <w:p w:rsidR="00AA4948" w:rsidRDefault="0087784D" w:rsidP="00AA4948">
      <w:r w:rsidRPr="00AA4948">
        <w:t xml:space="preserve">Ve stanici Ostrava </w:t>
      </w:r>
      <w:r>
        <w:t>hl.n.</w:t>
      </w:r>
      <w:r w:rsidRPr="00AA4948">
        <w:t xml:space="preserve"> jsou v provozu oba seřaďovací obvody, tj. levé nádraží pro vlakotvorné práce,</w:t>
      </w:r>
      <w:r>
        <w:t xml:space="preserve"> </w:t>
      </w:r>
      <w:r w:rsidRPr="00AA4948">
        <w:t>pravé nádraží pro práci s prázdným nákladním vozem. Traťový úsek Bohumín – Polanka nad Odrou</w:t>
      </w:r>
      <w:r>
        <w:t xml:space="preserve"> </w:t>
      </w:r>
      <w:r w:rsidRPr="00AA4948">
        <w:t>zůstává v celé délce dvoukolejný. Beze změny zůstává stanice Ostrava-Svinov, i stanice na traťových</w:t>
      </w:r>
      <w:r>
        <w:t xml:space="preserve"> </w:t>
      </w:r>
      <w:r w:rsidRPr="00AA4948">
        <w:t xml:space="preserve">úsecích Ostrava </w:t>
      </w:r>
      <w:r>
        <w:t>hl.n.</w:t>
      </w:r>
      <w:r w:rsidRPr="00AA4948">
        <w:t xml:space="preserve"> - Ostrava střed - Ostrava-Kunčice – Ostrava-Vítkovice – Odbočka Odra – Ostrava-</w:t>
      </w:r>
      <w:r>
        <w:t xml:space="preserve"> </w:t>
      </w:r>
      <w:r w:rsidRPr="00AA4948">
        <w:t>Svinov.</w:t>
      </w:r>
    </w:p>
    <w:p w:rsidR="002C42CB" w:rsidRDefault="002C42CB" w:rsidP="002C42CB">
      <w:pPr>
        <w:pStyle w:val="Nadpis2"/>
      </w:pPr>
      <w:bookmarkStart w:id="20" w:name="_Toc24713944"/>
      <w:bookmarkStart w:id="21" w:name="_Toc40186581"/>
      <w:r>
        <w:t>Analýza dopravy a přepravních vztahů</w:t>
      </w:r>
      <w:bookmarkEnd w:id="20"/>
      <w:bookmarkEnd w:id="21"/>
    </w:p>
    <w:p w:rsidR="00DB161C" w:rsidRPr="00DB161C" w:rsidRDefault="00DB161C" w:rsidP="00DB161C">
      <w:r w:rsidRPr="00DB161C">
        <w:t>Železniční uzel Ostrava se rozkládá na třech železničních tratích, jedná se o následující tratě</w:t>
      </w:r>
      <w:r w:rsidR="00602CFB">
        <w:t xml:space="preserve"> </w:t>
      </w:r>
      <w:r w:rsidRPr="00DB161C">
        <w:t>číslované dle KJŘ:</w:t>
      </w:r>
    </w:p>
    <w:p w:rsidR="00DB161C" w:rsidRPr="00DB161C" w:rsidRDefault="00DB161C" w:rsidP="00FF7D35">
      <w:pPr>
        <w:pStyle w:val="Odstavecseseznamem"/>
        <w:numPr>
          <w:ilvl w:val="0"/>
          <w:numId w:val="8"/>
        </w:numPr>
      </w:pPr>
      <w:r w:rsidRPr="00DB161C">
        <w:t>Trať č. 270 Česká Třebová – Přerov – Bohumín</w:t>
      </w:r>
    </w:p>
    <w:p w:rsidR="00DB161C" w:rsidRPr="00DB161C" w:rsidRDefault="00DB161C" w:rsidP="00FF7D35">
      <w:pPr>
        <w:pStyle w:val="Odstavecseseznamem"/>
        <w:numPr>
          <w:ilvl w:val="0"/>
          <w:numId w:val="8"/>
        </w:numPr>
      </w:pPr>
      <w:r w:rsidRPr="00DB161C">
        <w:t>Trať č. 321 Opava východ – Ostrava-Svinov – Český Těšín</w:t>
      </w:r>
    </w:p>
    <w:p w:rsidR="00DB161C" w:rsidRPr="00DB161C" w:rsidRDefault="00DB161C" w:rsidP="00FF7D35">
      <w:pPr>
        <w:pStyle w:val="Odstavecseseznamem"/>
        <w:numPr>
          <w:ilvl w:val="0"/>
          <w:numId w:val="8"/>
        </w:numPr>
      </w:pPr>
      <w:r w:rsidRPr="00DB161C">
        <w:t xml:space="preserve">Trať č. 323 Ostrava </w:t>
      </w:r>
      <w:r w:rsidR="000F38E0">
        <w:t>hl.n.</w:t>
      </w:r>
      <w:r w:rsidRPr="00DB161C">
        <w:t xml:space="preserve"> – Valašské Meziříčí</w:t>
      </w:r>
    </w:p>
    <w:p w:rsidR="00DB161C" w:rsidRPr="00DB161C" w:rsidRDefault="00DB161C" w:rsidP="00DB161C">
      <w:r w:rsidRPr="00DB161C">
        <w:t xml:space="preserve">V rámci železničního uzlu Ostrava se jedná o ŽST Ostrava </w:t>
      </w:r>
      <w:r w:rsidR="000F38E0">
        <w:t>hl.n.</w:t>
      </w:r>
      <w:r w:rsidRPr="00DB161C">
        <w:t xml:space="preserve"> a ŽST Ostrava-Svinov. ŽST</w:t>
      </w:r>
      <w:r>
        <w:t xml:space="preserve"> </w:t>
      </w:r>
      <w:r w:rsidRPr="00DB161C">
        <w:t xml:space="preserve">Ostrava </w:t>
      </w:r>
      <w:r w:rsidR="000F38E0">
        <w:t>hl.n.</w:t>
      </w:r>
      <w:r w:rsidRPr="00DB161C">
        <w:t xml:space="preserve"> se po provozní stránce dělí na:</w:t>
      </w:r>
    </w:p>
    <w:p w:rsidR="00DB161C" w:rsidRPr="00DB161C" w:rsidRDefault="00DB161C" w:rsidP="00FF7D35">
      <w:pPr>
        <w:pStyle w:val="Odstavecseseznamem"/>
        <w:numPr>
          <w:ilvl w:val="0"/>
          <w:numId w:val="9"/>
        </w:numPr>
      </w:pPr>
      <w:r w:rsidRPr="00DB161C">
        <w:t xml:space="preserve">Ostrava </w:t>
      </w:r>
      <w:r w:rsidR="000F38E0">
        <w:t>hl.n.</w:t>
      </w:r>
      <w:r w:rsidRPr="00DB161C">
        <w:t xml:space="preserve"> – osobní nádraží (OH), skládá se ze dvou částí:</w:t>
      </w:r>
    </w:p>
    <w:p w:rsidR="00DB161C" w:rsidRPr="00DB161C" w:rsidRDefault="00DB161C" w:rsidP="00FF7D35">
      <w:pPr>
        <w:pStyle w:val="Odstavecseseznamem"/>
        <w:numPr>
          <w:ilvl w:val="1"/>
          <w:numId w:val="9"/>
        </w:numPr>
        <w:ind w:left="1276" w:hanging="425"/>
      </w:pPr>
      <w:r w:rsidRPr="00DB161C">
        <w:t>část osobní nádraží</w:t>
      </w:r>
    </w:p>
    <w:p w:rsidR="00DB161C" w:rsidRPr="00DB161C" w:rsidRDefault="00DB161C" w:rsidP="00FF7D35">
      <w:pPr>
        <w:pStyle w:val="Odstavecseseznamem"/>
        <w:numPr>
          <w:ilvl w:val="1"/>
          <w:numId w:val="9"/>
        </w:numPr>
        <w:ind w:left="1276" w:hanging="425"/>
      </w:pPr>
      <w:r w:rsidRPr="00DB161C">
        <w:t>část (obvod) Hrušov</w:t>
      </w:r>
    </w:p>
    <w:p w:rsidR="00DB161C" w:rsidRPr="00DB161C" w:rsidRDefault="00DB161C" w:rsidP="00DB161C">
      <w:pPr>
        <w:ind w:left="1276"/>
      </w:pPr>
      <w:r w:rsidRPr="00DB161C">
        <w:t>Hranici mezi části osobního nádraží a části Hrušov tvoří odjezdová návěstidla</w:t>
      </w:r>
      <w:r>
        <w:t xml:space="preserve"> </w:t>
      </w:r>
      <w:r w:rsidRPr="00DB161C">
        <w:t>S101b, S102b.</w:t>
      </w:r>
    </w:p>
    <w:p w:rsidR="00DB161C" w:rsidRPr="00DB161C" w:rsidRDefault="00DB161C" w:rsidP="00FF7D35">
      <w:pPr>
        <w:pStyle w:val="Odstavecseseznamem"/>
        <w:numPr>
          <w:ilvl w:val="0"/>
          <w:numId w:val="9"/>
        </w:numPr>
      </w:pPr>
      <w:r w:rsidRPr="00DB161C">
        <w:t xml:space="preserve">Ostrava </w:t>
      </w:r>
      <w:r w:rsidR="000F38E0">
        <w:t>hl.n.</w:t>
      </w:r>
      <w:r w:rsidRPr="00DB161C">
        <w:t xml:space="preserve"> – pravé nádraží (OP)</w:t>
      </w:r>
    </w:p>
    <w:p w:rsidR="00DB161C" w:rsidRPr="00DB161C" w:rsidRDefault="00DB161C" w:rsidP="00FF7D35">
      <w:pPr>
        <w:pStyle w:val="Odstavecseseznamem"/>
        <w:numPr>
          <w:ilvl w:val="0"/>
          <w:numId w:val="9"/>
        </w:numPr>
      </w:pPr>
      <w:r w:rsidRPr="00DB161C">
        <w:t xml:space="preserve">Ostrava </w:t>
      </w:r>
      <w:r w:rsidR="000F38E0">
        <w:t>hl.n.</w:t>
      </w:r>
      <w:r w:rsidRPr="00DB161C">
        <w:t xml:space="preserve"> – levé nádraží (OL)</w:t>
      </w:r>
    </w:p>
    <w:p w:rsidR="00DB161C" w:rsidRPr="00DB161C" w:rsidRDefault="00DB161C" w:rsidP="00FF7D35">
      <w:pPr>
        <w:pStyle w:val="Odstavecseseznamem"/>
        <w:numPr>
          <w:ilvl w:val="0"/>
          <w:numId w:val="9"/>
        </w:numPr>
      </w:pPr>
      <w:r w:rsidRPr="00DB161C">
        <w:t xml:space="preserve">Ostrava </w:t>
      </w:r>
      <w:r w:rsidR="000F38E0">
        <w:t>hl.n.</w:t>
      </w:r>
      <w:r w:rsidRPr="00DB161C">
        <w:t xml:space="preserve"> – báňské nádraží (OB)</w:t>
      </w:r>
    </w:p>
    <w:p w:rsidR="00DB161C" w:rsidRPr="00DB161C" w:rsidRDefault="00DB161C" w:rsidP="00FF7D35">
      <w:pPr>
        <w:pStyle w:val="Odstavecseseznamem"/>
        <w:numPr>
          <w:ilvl w:val="0"/>
          <w:numId w:val="9"/>
        </w:numPr>
      </w:pPr>
      <w:r w:rsidRPr="00DB161C">
        <w:t>Ostrava střed (OS)</w:t>
      </w:r>
    </w:p>
    <w:p w:rsidR="002C42CB" w:rsidRDefault="00DB161C" w:rsidP="00DB161C">
      <w:pPr>
        <w:pStyle w:val="Nadpis3"/>
      </w:pPr>
      <w:bookmarkStart w:id="22" w:name="_Toc40186582"/>
      <w:r w:rsidRPr="00DB161C">
        <w:t>Současný rozsah dopravy</w:t>
      </w:r>
      <w:bookmarkEnd w:id="22"/>
    </w:p>
    <w:p w:rsidR="00602CFB" w:rsidRDefault="00602CFB" w:rsidP="00602CFB">
      <w:pPr>
        <w:rPr>
          <w:rFonts w:cs="Times New Roman"/>
        </w:rPr>
      </w:pPr>
      <w:r w:rsidRPr="00602CFB">
        <w:rPr>
          <w:rFonts w:cs="Times New Roman"/>
        </w:rPr>
        <w:t>Dopravní obslužnost je na koridorové trati volně otevřena trhu, to znamená,</w:t>
      </w:r>
      <w:r>
        <w:rPr>
          <w:rFonts w:cs="Times New Roman"/>
        </w:rPr>
        <w:t xml:space="preserve"> </w:t>
      </w:r>
      <w:r w:rsidRPr="00602CFB">
        <w:rPr>
          <w:rFonts w:cs="Times New Roman"/>
        </w:rPr>
        <w:t>že na část spojů dálkové osobní dopravy nemá MD ČR vliv. Vybrané linky (např. linka R27</w:t>
      </w:r>
      <w:r>
        <w:rPr>
          <w:rFonts w:cs="Times New Roman"/>
        </w:rPr>
        <w:t xml:space="preserve"> </w:t>
      </w:r>
      <w:r w:rsidRPr="00602CFB">
        <w:rPr>
          <w:rFonts w:cs="Times New Roman"/>
        </w:rPr>
        <w:t>Opava východ – Ostrava-Svinov – Ostrava střed) je objednávána MD ČR. Regionální doprava</w:t>
      </w:r>
      <w:r>
        <w:rPr>
          <w:rFonts w:cs="Times New Roman"/>
        </w:rPr>
        <w:t xml:space="preserve"> </w:t>
      </w:r>
      <w:r w:rsidRPr="00602CFB">
        <w:rPr>
          <w:rFonts w:cs="Times New Roman"/>
        </w:rPr>
        <w:t>– Sp a Os vlaky, jsou objednávány Moravskoslezským krajem. V nákladní dopravě působí</w:t>
      </w:r>
      <w:r>
        <w:rPr>
          <w:rFonts w:cs="Times New Roman"/>
        </w:rPr>
        <w:t xml:space="preserve"> </w:t>
      </w:r>
      <w:r w:rsidRPr="00602CFB">
        <w:rPr>
          <w:rFonts w:cs="Times New Roman"/>
        </w:rPr>
        <w:t>v uzlu Ostrava řada dopravců, z nichž největší je ČD Cargo, a.s., mezi další významné dopravce</w:t>
      </w:r>
      <w:r>
        <w:rPr>
          <w:rFonts w:cs="Times New Roman"/>
        </w:rPr>
        <w:t xml:space="preserve"> </w:t>
      </w:r>
      <w:r w:rsidRPr="00602CFB">
        <w:rPr>
          <w:rFonts w:cs="Times New Roman"/>
        </w:rPr>
        <w:t>patří AWT, RCC, UNIPETROL DOPRAVA.</w:t>
      </w:r>
    </w:p>
    <w:p w:rsidR="005656FD" w:rsidRPr="00D42405" w:rsidRDefault="005656FD" w:rsidP="005656FD">
      <w:pPr>
        <w:rPr>
          <w:b/>
          <w:u w:val="single"/>
        </w:rPr>
      </w:pPr>
      <w:r>
        <w:rPr>
          <w:b/>
          <w:u w:val="single"/>
        </w:rPr>
        <w:t>Dálková</w:t>
      </w:r>
      <w:r w:rsidRPr="00D42405">
        <w:rPr>
          <w:b/>
          <w:u w:val="single"/>
        </w:rPr>
        <w:t xml:space="preserve"> osobní doprava</w:t>
      </w:r>
    </w:p>
    <w:p w:rsidR="005656FD" w:rsidRPr="00E87F7B" w:rsidRDefault="005656FD" w:rsidP="005656FD">
      <w:pPr>
        <w:rPr>
          <w:rFonts w:cs="Times New Roman"/>
          <w:b/>
        </w:rPr>
      </w:pPr>
      <w:r w:rsidRPr="00E87F7B">
        <w:rPr>
          <w:rFonts w:cs="Times New Roman"/>
          <w:b/>
        </w:rPr>
        <w:t>První přepravní segment (Ex):</w:t>
      </w:r>
    </w:p>
    <w:p w:rsidR="005656FD" w:rsidRPr="00E87F7B" w:rsidRDefault="005656FD" w:rsidP="005656FD">
      <w:pPr>
        <w:rPr>
          <w:rFonts w:cs="Times New Roman"/>
        </w:rPr>
      </w:pPr>
      <w:r w:rsidRPr="00E87F7B">
        <w:rPr>
          <w:rFonts w:cs="Times New Roman"/>
          <w:b/>
        </w:rPr>
        <w:t>Ex1 (…) Praha – Pardubice – Olomouc – Ostrava – Žilina/Katowice (…)</w:t>
      </w:r>
      <w:r w:rsidRPr="00E87F7B">
        <w:rPr>
          <w:rFonts w:cs="Times New Roman"/>
        </w:rPr>
        <w:t xml:space="preserve">, předpoklad reálně potřebného intervalu 60´ se špičkovými vloženými vlaky na 30´, souprava 400 osob, 200 km/h, elektrická trakce, </w:t>
      </w:r>
      <w:r w:rsidRPr="00E87F7B">
        <w:rPr>
          <w:rFonts w:cs="Times New Roman"/>
        </w:rPr>
        <w:lastRenderedPageBreak/>
        <w:t>v současné době je tato relace předmětem volné konkurence s běžným intervalem 30´celodenně. MD ČR upozorňuje, že v současné době dále trasy nejsou rovnoběžné. Vlaky objednávané MD přes Bohumín, 120´směr Žilina. Linka do Polska dle vývoje jednání s polskou stranou. Z pohledu MD zbývající vlaky končí v ŽST Bohumín, v případě komerčních produktů nelze vyloučit vedení přes Ostravu střed – Havířov. Přes Polaneckou spojku předpokládá MD vedení pouze doplňkových špičkových vlaků.</w:t>
      </w:r>
    </w:p>
    <w:p w:rsidR="005656FD" w:rsidRPr="00E87F7B" w:rsidRDefault="005656FD" w:rsidP="005656FD">
      <w:pPr>
        <w:rPr>
          <w:rFonts w:cs="Times New Roman"/>
        </w:rPr>
      </w:pPr>
      <w:r w:rsidRPr="00E87F7B">
        <w:rPr>
          <w:rFonts w:cs="Times New Roman"/>
          <w:b/>
        </w:rPr>
        <w:t>Ex4 Wien/Bratislava – Břeclav – Ostrava – Katowice (…)</w:t>
      </w:r>
      <w:r w:rsidRPr="00E87F7B">
        <w:rPr>
          <w:rFonts w:cs="Times New Roman"/>
        </w:rPr>
        <w:t>, předpoklad potřebného intervalu 120´, souprava 400 míst, elektrická trakce. Poloha Břeclav X:00. Do Polska vlaky dle dohody s polskou stranou, zbytek vlaků cílový/výchozí v ŽST Bohumín.</w:t>
      </w:r>
    </w:p>
    <w:p w:rsidR="005656FD" w:rsidRPr="00E87F7B" w:rsidRDefault="005656FD" w:rsidP="005656FD">
      <w:pPr>
        <w:keepNext/>
        <w:rPr>
          <w:rFonts w:cs="Times New Roman"/>
          <w:b/>
        </w:rPr>
      </w:pPr>
      <w:r w:rsidRPr="00E87F7B">
        <w:rPr>
          <w:rFonts w:cs="Times New Roman"/>
          <w:b/>
        </w:rPr>
        <w:t>Druhý přepravní segment (R):</w:t>
      </w:r>
    </w:p>
    <w:p w:rsidR="005656FD" w:rsidRPr="00E87F7B" w:rsidRDefault="005656FD" w:rsidP="005656FD">
      <w:pPr>
        <w:keepNext/>
        <w:rPr>
          <w:rFonts w:cs="Times New Roman"/>
        </w:rPr>
      </w:pPr>
      <w:r w:rsidRPr="00E87F7B">
        <w:rPr>
          <w:rFonts w:cs="Times New Roman"/>
          <w:b/>
        </w:rPr>
        <w:t>R8 Brno – Ostrava – Bohumín</w:t>
      </w:r>
      <w:r w:rsidRPr="00E87F7B">
        <w:rPr>
          <w:rFonts w:cs="Times New Roman"/>
        </w:rPr>
        <w:t>, interval 60´, souprava 400 osob, min. 160 km/h, elektrická trakce, průvoz do R9, časová poloha cca stávající dle konceptu na trati 300 (nyní křižování v Brně, Rousínově, Němčicích nad Hanou), úsilí po provázání Ex2 a R8 v Hranicích na Moravě dle možností infrastruktury. Ukončení/začátek linky v ŽST Bohumín.</w:t>
      </w:r>
    </w:p>
    <w:p w:rsidR="005656FD" w:rsidRPr="00E87F7B" w:rsidRDefault="005656FD" w:rsidP="005656FD">
      <w:pPr>
        <w:rPr>
          <w:rFonts w:cs="Times New Roman"/>
        </w:rPr>
      </w:pPr>
      <w:r w:rsidRPr="00E87F7B">
        <w:rPr>
          <w:rFonts w:cs="Times New Roman"/>
          <w:b/>
        </w:rPr>
        <w:t>R18 Praha – Pardubice – Olomouc – Ostrava</w:t>
      </w:r>
      <w:r w:rsidRPr="00E87F7B">
        <w:rPr>
          <w:rFonts w:cs="Times New Roman"/>
        </w:rPr>
        <w:t>, interval 60´ (v sedle 120´), souprava 250 osob, min. 160 km/h, elektrická trakce. Poloha vlaku závisí na uspořádání Ex1. Cílová stanice této linky rovněž závisí na uspořádání Ex1 a dohodě s regionální dopravou.</w:t>
      </w:r>
    </w:p>
    <w:p w:rsidR="00D42405" w:rsidRDefault="005656FD" w:rsidP="002C42CB">
      <w:pPr>
        <w:rPr>
          <w:b/>
        </w:rPr>
      </w:pPr>
      <w:r w:rsidRPr="00E87F7B">
        <w:rPr>
          <w:rFonts w:cs="Times New Roman"/>
          <w:b/>
        </w:rPr>
        <w:t>R27 Olomouc – Opava – Ostrava střed</w:t>
      </w:r>
      <w:r w:rsidRPr="00E87F7B">
        <w:rPr>
          <w:rFonts w:cs="Times New Roman"/>
        </w:rPr>
        <w:t>, interval 120´, s vloženými vlaky objednávanými regionální dopravou, souprava až 400 osob (výrazné špičkové výkyvy), poloha L:00 v Olomouci, dále dle stavu infrastruktury na předmětných dráhách (nyní křižování ve Valšově, Krnově, Ostravě-Svinov. Ukončení/začátek linky v ŽST Ostrava střed. Nezávislá trakce.</w:t>
      </w:r>
    </w:p>
    <w:p w:rsidR="00D42405" w:rsidRPr="00D42405" w:rsidRDefault="00D42405" w:rsidP="00D42405">
      <w:pPr>
        <w:rPr>
          <w:b/>
          <w:u w:val="single"/>
        </w:rPr>
      </w:pPr>
      <w:bookmarkStart w:id="23" w:name="_Toc24961595"/>
      <w:r w:rsidRPr="00D42405">
        <w:rPr>
          <w:b/>
          <w:u w:val="single"/>
        </w:rPr>
        <w:t>Regionální osobní doprava</w:t>
      </w:r>
      <w:bookmarkEnd w:id="23"/>
    </w:p>
    <w:p w:rsidR="00D42405" w:rsidRPr="001B2C29" w:rsidRDefault="00D42405" w:rsidP="00D42405">
      <w:pPr>
        <w:rPr>
          <w:rFonts w:cs="Times New Roman"/>
        </w:rPr>
      </w:pPr>
      <w:r w:rsidRPr="00D42405">
        <w:rPr>
          <w:rFonts w:cs="Times New Roman"/>
          <w:b/>
        </w:rPr>
        <w:t>Linka R61 (Opava východ – Ostrava-Svinov – Havířov – Český Těšín – Třinec)</w:t>
      </w:r>
      <w:r w:rsidRPr="001B2C29">
        <w:rPr>
          <w:rFonts w:cs="Times New Roman"/>
        </w:rPr>
        <w:t>: 34 vlaků osobní dopravy.</w:t>
      </w:r>
    </w:p>
    <w:p w:rsidR="00D42405" w:rsidRPr="001B2C29" w:rsidRDefault="00D42405" w:rsidP="00D42405">
      <w:pPr>
        <w:rPr>
          <w:rFonts w:cs="Times New Roman"/>
        </w:rPr>
      </w:pPr>
      <w:r w:rsidRPr="00D42405">
        <w:rPr>
          <w:rFonts w:cs="Times New Roman"/>
          <w:b/>
        </w:rPr>
        <w:t>Linka S1 (Opava východ – Ostrava-Svinov – Havířov – Český Těšín)</w:t>
      </w:r>
      <w:r w:rsidRPr="001B2C29">
        <w:rPr>
          <w:rFonts w:cs="Times New Roman"/>
        </w:rPr>
        <w:t>: úsek Opava východ – Ostrava-Svinov – 42 vlaků osobní dopravy, Ostrava-Svinov – Ostrava-Kunčice: 74 vlaků osobní dopravy, Ostrava-Kunčice – Český Těšín – 40 vlaků osobní dopravy.</w:t>
      </w:r>
    </w:p>
    <w:p w:rsidR="00D42405" w:rsidRPr="001B2C29" w:rsidRDefault="00D42405" w:rsidP="00D42405">
      <w:pPr>
        <w:rPr>
          <w:rFonts w:cs="Times New Roman"/>
        </w:rPr>
      </w:pPr>
      <w:r w:rsidRPr="00D42405">
        <w:rPr>
          <w:rFonts w:cs="Times New Roman"/>
          <w:b/>
        </w:rPr>
        <w:t>Linka S2 (Ostrava-Svinov – Bohumín – Mosty u Jablunkova)</w:t>
      </w:r>
      <w:r w:rsidRPr="001B2C29">
        <w:rPr>
          <w:rFonts w:cs="Times New Roman"/>
        </w:rPr>
        <w:t>: 32 vlaků osobní dopravy.</w:t>
      </w:r>
    </w:p>
    <w:p w:rsidR="00377730" w:rsidRDefault="00D42405" w:rsidP="00D42405">
      <w:pPr>
        <w:rPr>
          <w:rFonts w:cs="Times New Roman"/>
          <w:b/>
        </w:rPr>
      </w:pPr>
      <w:r w:rsidRPr="00377730">
        <w:rPr>
          <w:rFonts w:cs="Times New Roman"/>
          <w:b/>
        </w:rPr>
        <w:t xml:space="preserve">Linka S3 (Bohumín – Ostrava – Studénka – Polom) </w:t>
      </w:r>
    </w:p>
    <w:p w:rsidR="00D42405" w:rsidRPr="001B2C29" w:rsidRDefault="00377730" w:rsidP="00D42405">
      <w:pPr>
        <w:rPr>
          <w:rFonts w:cs="Times New Roman"/>
        </w:rPr>
      </w:pPr>
      <w:r>
        <w:rPr>
          <w:rFonts w:cs="Times New Roman"/>
          <w:b/>
        </w:rPr>
        <w:t>L</w:t>
      </w:r>
      <w:r w:rsidR="00D42405" w:rsidRPr="00377730">
        <w:rPr>
          <w:rFonts w:cs="Times New Roman"/>
          <w:b/>
        </w:rPr>
        <w:t>inka S4 (Bohumín – Ostrava – Studénka – Mošnov, Ostrava Airport)</w:t>
      </w:r>
      <w:r w:rsidR="00D42405" w:rsidRPr="001B2C29">
        <w:rPr>
          <w:rFonts w:cs="Times New Roman"/>
        </w:rPr>
        <w:t>: 52 vlaků osobní dopravy (obě linky jsou provozovány na trati č. 270).</w:t>
      </w:r>
    </w:p>
    <w:p w:rsidR="00D42405" w:rsidRPr="001B2C29" w:rsidRDefault="00D42405" w:rsidP="00D42405">
      <w:pPr>
        <w:rPr>
          <w:rFonts w:cs="Times New Roman"/>
        </w:rPr>
      </w:pPr>
      <w:r w:rsidRPr="00377730">
        <w:rPr>
          <w:rFonts w:cs="Times New Roman"/>
          <w:b/>
        </w:rPr>
        <w:t xml:space="preserve">Linka S6 (Ostrava </w:t>
      </w:r>
      <w:r w:rsidR="000F38E0">
        <w:rPr>
          <w:rFonts w:cs="Times New Roman"/>
          <w:b/>
        </w:rPr>
        <w:t>hl.n.</w:t>
      </w:r>
      <w:r w:rsidRPr="00377730">
        <w:rPr>
          <w:rFonts w:cs="Times New Roman"/>
          <w:b/>
        </w:rPr>
        <w:t xml:space="preserve"> – Frenštát pod Radhoštěm – Valašské Meziříčí </w:t>
      </w:r>
      <w:r w:rsidRPr="00377730">
        <w:rPr>
          <w:rFonts w:cs="Times New Roman"/>
        </w:rPr>
        <w:t xml:space="preserve">– zde KODIS uvažuje vlaky výchozí ze stanice Ostrava </w:t>
      </w:r>
      <w:r w:rsidR="000F38E0">
        <w:rPr>
          <w:rFonts w:cs="Times New Roman"/>
        </w:rPr>
        <w:t>hl.n.</w:t>
      </w:r>
      <w:r w:rsidRPr="00377730">
        <w:rPr>
          <w:rFonts w:cs="Times New Roman"/>
        </w:rPr>
        <w:t>, respektive vlaky v této stanici končící):</w:t>
      </w:r>
      <w:r w:rsidRPr="001B2C29">
        <w:rPr>
          <w:rFonts w:cs="Times New Roman"/>
        </w:rPr>
        <w:t xml:space="preserve"> 61 vlaků osobní dopravy.</w:t>
      </w:r>
    </w:p>
    <w:p w:rsidR="00D42405" w:rsidRDefault="00D42405" w:rsidP="00D42405">
      <w:pPr>
        <w:pStyle w:val="Nadpis3"/>
      </w:pPr>
      <w:bookmarkStart w:id="24" w:name="_Toc24961593"/>
      <w:bookmarkStart w:id="25" w:name="_Toc40186583"/>
      <w:r>
        <w:t>Výhledový rozsah dopravy</w:t>
      </w:r>
      <w:bookmarkEnd w:id="24"/>
      <w:bookmarkEnd w:id="25"/>
    </w:p>
    <w:p w:rsidR="00D42405" w:rsidRDefault="00D42405" w:rsidP="00D42405">
      <w:r>
        <w:t>Údaje o výhledovém rozsahu dopravy byly poskytnuty objednatelem regionální dopravy Moravskoslezským kraje – koordinátorem integrovaného dopravního systému Moravskoslezského kraje (KODIS). Údaje k dálkové osobní dopravě byly poskytnuty MD ČR, ČD, společností RegioJet a SŽ GŘ O26. Rozsah nákladní dopravy byl stanoven a potvrzen SŽ GŘ O26. Pro lepší přehlednost je uveden i současný rozsah dopravy.</w:t>
      </w:r>
    </w:p>
    <w:p w:rsidR="00377730" w:rsidRPr="00D42405" w:rsidRDefault="00377730" w:rsidP="00377730">
      <w:pPr>
        <w:rPr>
          <w:b/>
          <w:u w:val="single"/>
        </w:rPr>
      </w:pPr>
      <w:r w:rsidRPr="00D42405">
        <w:rPr>
          <w:b/>
          <w:u w:val="single"/>
        </w:rPr>
        <w:t xml:space="preserve">Dálková osobní doprava </w:t>
      </w:r>
      <w:r>
        <w:rPr>
          <w:b/>
          <w:u w:val="single"/>
        </w:rPr>
        <w:t>– horizont 2025</w:t>
      </w:r>
    </w:p>
    <w:p w:rsidR="00377730" w:rsidRPr="00D42405" w:rsidRDefault="00377730" w:rsidP="00377730">
      <w:pPr>
        <w:rPr>
          <w:i/>
        </w:rPr>
      </w:pPr>
      <w:r w:rsidRPr="00D42405">
        <w:rPr>
          <w:i/>
        </w:rPr>
        <w:t>První přepravní segment (Ex):</w:t>
      </w:r>
    </w:p>
    <w:p w:rsidR="00D42405" w:rsidRPr="00E87F7B" w:rsidRDefault="00D42405" w:rsidP="00D42405">
      <w:pPr>
        <w:rPr>
          <w:rFonts w:cs="Times New Roman"/>
        </w:rPr>
      </w:pPr>
      <w:r w:rsidRPr="00E87F7B">
        <w:rPr>
          <w:rFonts w:cs="Times New Roman"/>
          <w:b/>
        </w:rPr>
        <w:t>Ex1 (…) Praha – Pardubice – Olomouc – Ostrava – Žilina/Katowice (…)</w:t>
      </w:r>
      <w:r w:rsidRPr="00E87F7B">
        <w:rPr>
          <w:rFonts w:cs="Times New Roman"/>
        </w:rPr>
        <w:t xml:space="preserve">, předpoklad reálně potřebného intervalu 60´ se špičkovými vloženými vlaky na 30´, souprava 400 osob, 200 km/h, elektrická trakce, v současné době je tato relace předmětem volné konkurence s běžným intervalem 30´ (2x ČD, 1x LEO, 1x RegioJet), proto MD ČR doporučuje při infrastrukturních úvahách pracovat s intervalem 30´celodenně. MD ČR upozorňuje, že v současné době dále trasy nejsou rovnoběžné. V souvislosti s dopravci Regiojet a.s. a LEO Express a.s. a dále v souvislosti s vlaky dopravce ČD a.s, které jsou vedeny na komerční riziko dopravce, je nutné uvést, že MD ČR nedisponuje informacemi o výhledovém rozsahu dopravy těchto dopravců. Vlaky objednávané MD ČR přes Bohumín, interval 120´ směr Žilina. </w:t>
      </w:r>
      <w:r w:rsidRPr="00E87F7B">
        <w:rPr>
          <w:rFonts w:cs="Times New Roman"/>
        </w:rPr>
        <w:lastRenderedPageBreak/>
        <w:t xml:space="preserve">Linka do Polska dle vývoje jednání s Polskou stranou. Z pohledu MD zbývající vlaky končí v ŽST Bohumín, v případě komerčních produktů nelze vyloučit vedení přes Ostravu střed – Havířov. </w:t>
      </w:r>
    </w:p>
    <w:p w:rsidR="00D42405" w:rsidRPr="00E87F7B" w:rsidRDefault="00D42405" w:rsidP="00D42405">
      <w:pPr>
        <w:rPr>
          <w:rFonts w:cs="Times New Roman"/>
        </w:rPr>
      </w:pPr>
      <w:r w:rsidRPr="00E87F7B">
        <w:rPr>
          <w:rFonts w:cs="Times New Roman"/>
          <w:b/>
        </w:rPr>
        <w:t>Ex4 Wien/Bratislava – Břeclav – Ostrava – Katowice (…)</w:t>
      </w:r>
      <w:r w:rsidRPr="00E87F7B">
        <w:rPr>
          <w:rFonts w:cs="Times New Roman"/>
        </w:rPr>
        <w:t>, předpoklad potřebného intervalu 120´, souprava 400 míst, elektrická trakce. Poloha Břeclav X:00, resp. shodně s Ex3. Do Polska vlaky dle dohody s polskou stranou, zbytek vlaků cílový/výchozí v ŽST Bohumín.</w:t>
      </w:r>
    </w:p>
    <w:p w:rsidR="00D42405" w:rsidRPr="00E87F7B" w:rsidRDefault="00D42405" w:rsidP="00D42405">
      <w:pPr>
        <w:rPr>
          <w:rFonts w:cs="Times New Roman"/>
          <w:i/>
        </w:rPr>
      </w:pPr>
      <w:r w:rsidRPr="00E87F7B">
        <w:rPr>
          <w:rFonts w:cs="Times New Roman"/>
          <w:i/>
        </w:rPr>
        <w:t>(+ Brno – Ostrava v Ex – vrstvě s provozem od roku 2026, viz poznámka níže).</w:t>
      </w:r>
    </w:p>
    <w:p w:rsidR="00D42405" w:rsidRPr="00377730" w:rsidRDefault="00D42405" w:rsidP="00D42405">
      <w:pPr>
        <w:rPr>
          <w:i/>
        </w:rPr>
      </w:pPr>
      <w:r w:rsidRPr="00377730">
        <w:rPr>
          <w:i/>
        </w:rPr>
        <w:t>Druhý přepravní segment (R):</w:t>
      </w:r>
    </w:p>
    <w:p w:rsidR="00D42405" w:rsidRPr="00E87F7B" w:rsidRDefault="00D42405" w:rsidP="00D42405">
      <w:pPr>
        <w:rPr>
          <w:rFonts w:cs="Times New Roman"/>
        </w:rPr>
      </w:pPr>
      <w:r w:rsidRPr="00E87F7B">
        <w:rPr>
          <w:rFonts w:cs="Times New Roman"/>
          <w:b/>
        </w:rPr>
        <w:t>R8 Brno – Ostrava – Bohumín</w:t>
      </w:r>
      <w:r w:rsidRPr="00E87F7B">
        <w:rPr>
          <w:rFonts w:cs="Times New Roman"/>
        </w:rPr>
        <w:t>, interval 60´, souprava 400 osob, min. 160 km/h (do výstavby nové trati), elektrická trakce, ukončení v Brně (možnost průjezdu do kordónové stanice), časová poloha cca stávající dle konceptu na trati 300, úsilí po provázání Ex2 a R8 v Hranicích na Moravě dle možností infrastruktury, vybrané vlaky zastavují v Suchdole nad Odrou a ve Studénce. V závislosti na veřejných rozpočtech možnost prodloužení linky do Třince.</w:t>
      </w:r>
    </w:p>
    <w:p w:rsidR="00D42405" w:rsidRPr="00E87F7B" w:rsidRDefault="00D42405" w:rsidP="00D42405">
      <w:pPr>
        <w:rPr>
          <w:rFonts w:cs="Times New Roman"/>
        </w:rPr>
      </w:pPr>
      <w:r w:rsidRPr="00E87F7B">
        <w:rPr>
          <w:rFonts w:cs="Times New Roman"/>
        </w:rPr>
        <w:t xml:space="preserve">(předpoklad vlaků Ex vrstvy Brno – Ostrava, </w:t>
      </w:r>
      <w:r w:rsidR="000F38E0" w:rsidRPr="00E87F7B">
        <w:rPr>
          <w:rFonts w:cs="Times New Roman"/>
        </w:rPr>
        <w:t>t. č.</w:t>
      </w:r>
      <w:r w:rsidRPr="00E87F7B">
        <w:rPr>
          <w:rFonts w:cs="Times New Roman"/>
        </w:rPr>
        <w:t xml:space="preserve"> horizont 2026 s možnou úpravou dle postupu stavebních prací na trati 300 – obě linky je třeba předpokládat ve špičkovém intervalu 60´, v případě rychlé dvoukolejné infrastruktury.</w:t>
      </w:r>
    </w:p>
    <w:p w:rsidR="00D42405" w:rsidRPr="00E87F7B" w:rsidRDefault="00D42405" w:rsidP="00D42405">
      <w:pPr>
        <w:rPr>
          <w:rFonts w:cs="Times New Roman"/>
        </w:rPr>
      </w:pPr>
      <w:r w:rsidRPr="00E87F7B">
        <w:rPr>
          <w:rFonts w:cs="Times New Roman"/>
          <w:b/>
        </w:rPr>
        <w:t>R18 Praha – Pardubice – Olomouc – Ostrava</w:t>
      </w:r>
      <w:r w:rsidRPr="00E87F7B">
        <w:rPr>
          <w:rFonts w:cs="Times New Roman"/>
        </w:rPr>
        <w:t>, interval 60´ (v sedle 120´), souprava 250 osob, min. 160 km/h, elektrická trakce. Poloha vlaku závisí na uspořádání Ex1. Cílová stanice této linky rovněž závisí na uspořádání Ex1 a dohodě s regionální dopravou.</w:t>
      </w:r>
    </w:p>
    <w:p w:rsidR="00D42405" w:rsidRPr="00E87F7B" w:rsidRDefault="00D42405" w:rsidP="00D42405">
      <w:pPr>
        <w:rPr>
          <w:rFonts w:cs="Times New Roman"/>
        </w:rPr>
      </w:pPr>
      <w:r w:rsidRPr="00E87F7B">
        <w:rPr>
          <w:rFonts w:cs="Times New Roman"/>
          <w:b/>
        </w:rPr>
        <w:t>R27 Olomouc – Opava – Ostrava střed</w:t>
      </w:r>
      <w:r w:rsidRPr="00E87F7B">
        <w:rPr>
          <w:rFonts w:cs="Times New Roman"/>
        </w:rPr>
        <w:t xml:space="preserve">, interval 120´, s vloženými vlaky objednávanými regionální dopravou, souprava až 400 osob (výrazné špičkové výkyvy), poloha L:00 v Olomouci, dále dle stavu infrastruktury na předmětných dráhách (nyní křižování ve Valšově, Krnově, Ostravě-Svinov. Nezávislá trakce. Ukončení/začátek linky v ŽST Ostrava střed, možnost prodloužení linky do ŽST Frýdek-Místek. </w:t>
      </w:r>
    </w:p>
    <w:p w:rsidR="00377730" w:rsidRPr="00D42405" w:rsidRDefault="00377730" w:rsidP="00377730">
      <w:pPr>
        <w:rPr>
          <w:b/>
          <w:u w:val="single"/>
        </w:rPr>
      </w:pPr>
      <w:r w:rsidRPr="00D42405">
        <w:rPr>
          <w:b/>
          <w:u w:val="single"/>
        </w:rPr>
        <w:t xml:space="preserve">Dálková osobní doprava </w:t>
      </w:r>
      <w:r>
        <w:rPr>
          <w:b/>
          <w:u w:val="single"/>
        </w:rPr>
        <w:t>– horizont 2040</w:t>
      </w:r>
    </w:p>
    <w:p w:rsidR="00377730" w:rsidRPr="00D42405" w:rsidRDefault="00377730" w:rsidP="00377730">
      <w:pPr>
        <w:rPr>
          <w:i/>
        </w:rPr>
      </w:pPr>
      <w:r w:rsidRPr="00D42405">
        <w:rPr>
          <w:i/>
        </w:rPr>
        <w:t>První přepravní segment (Ex):</w:t>
      </w:r>
    </w:p>
    <w:p w:rsidR="00D42405" w:rsidRPr="00E87F7B" w:rsidRDefault="00D42405" w:rsidP="00D42405">
      <w:pPr>
        <w:keepNext/>
        <w:rPr>
          <w:rFonts w:cs="Times New Roman"/>
        </w:rPr>
      </w:pPr>
      <w:r w:rsidRPr="00E87F7B">
        <w:rPr>
          <w:rFonts w:cs="Times New Roman"/>
          <w:b/>
        </w:rPr>
        <w:t>Ex1 (…) Praha – Brno – Ostrava (…)</w:t>
      </w:r>
      <w:r w:rsidRPr="00E87F7B">
        <w:rPr>
          <w:rFonts w:cs="Times New Roman"/>
        </w:rPr>
        <w:t>, předpoklad intervalu 30´ celodenně, souprava 400 osob, rychlost dle parametrů RS1, elektrická trakce, příjezd po trati RS. Z pohledu MD se očekává jízda přes Bohumín a pokračování v intervalu 120´směr Žilina. Do Polska dle vývoje jednání s polskou stranou. Zbývající vlaky budou ukončeny v prostoru Moravskoslezské aglomerace, tj. ukončeny v Bohumíně, vedeny do Třince přes Karvinou variantně vedeny přes Ostravu střed a Havířov do Třince. Polanecká spojka musí umožnit průjezd vlaků z trati RS do Ostravy-Kunčic.</w:t>
      </w:r>
    </w:p>
    <w:p w:rsidR="00D42405" w:rsidRPr="00E87F7B" w:rsidRDefault="00D42405" w:rsidP="00D42405">
      <w:pPr>
        <w:rPr>
          <w:rFonts w:cs="Times New Roman"/>
        </w:rPr>
      </w:pPr>
      <w:r w:rsidRPr="00E87F7B">
        <w:rPr>
          <w:rFonts w:cs="Times New Roman"/>
          <w:b/>
        </w:rPr>
        <w:t xml:space="preserve">Ex4 Břeclav – Otrokovice – Ostrava </w:t>
      </w:r>
      <w:r w:rsidRPr="00E87F7B">
        <w:rPr>
          <w:rFonts w:cs="Times New Roman"/>
        </w:rPr>
        <w:t>(s možným pokračováním dále do Polska). Obsluhuje současné tarifní body linky Ex4 na území ČR, příjezd do uzlu Ostrava po konvenční dráze, elektrická trakce. Interval 120´se špičkovými vloženými vlaky na 60´. Předpokládá se poloha odvozená od Ex4A v Břeclavi.</w:t>
      </w:r>
    </w:p>
    <w:p w:rsidR="00D42405" w:rsidRPr="00E87F7B" w:rsidRDefault="00D42405" w:rsidP="00D42405">
      <w:pPr>
        <w:rPr>
          <w:rFonts w:cs="Times New Roman"/>
        </w:rPr>
      </w:pPr>
      <w:r w:rsidRPr="00E87F7B">
        <w:rPr>
          <w:rFonts w:cs="Times New Roman"/>
          <w:b/>
        </w:rPr>
        <w:t>Ex4A Wien/Bratislava – Břeclav – Ostrava – Katowice (…)</w:t>
      </w:r>
      <w:r w:rsidRPr="00E87F7B">
        <w:rPr>
          <w:rFonts w:cs="Times New Roman"/>
        </w:rPr>
        <w:t xml:space="preserve">, předpoklad potřebného intervalu 120´, souprava 400 míst, elektrická trakce. Příjezd po RS. V Břeclavi poloha systémově jako Ex3. </w:t>
      </w:r>
    </w:p>
    <w:p w:rsidR="00D42405" w:rsidRPr="00E87F7B" w:rsidRDefault="00D42405" w:rsidP="00D42405">
      <w:pPr>
        <w:rPr>
          <w:rFonts w:cs="Times New Roman"/>
          <w:i/>
        </w:rPr>
      </w:pPr>
      <w:r w:rsidRPr="00E87F7B">
        <w:rPr>
          <w:rFonts w:cs="Times New Roman"/>
          <w:i/>
        </w:rPr>
        <w:t>(V současné době zvažuje MD ČR dále potřebnost vedení Ex Hradec Králové – Pardubice – Olomouc – Ostrava, jejich potřeba závisí na síťových návaznostech ostatních linek a vývoji přepravní poptávky).</w:t>
      </w:r>
    </w:p>
    <w:p w:rsidR="00D42405" w:rsidRPr="00E87F7B" w:rsidRDefault="00D42405" w:rsidP="00D42405">
      <w:pPr>
        <w:rPr>
          <w:rFonts w:cs="Times New Roman"/>
          <w:b/>
        </w:rPr>
      </w:pPr>
      <w:r w:rsidRPr="00377730">
        <w:rPr>
          <w:i/>
        </w:rPr>
        <w:t>Druhý přepravní segment (R):</w:t>
      </w:r>
    </w:p>
    <w:p w:rsidR="00D42405" w:rsidRPr="00E87F7B" w:rsidRDefault="00D42405" w:rsidP="00D42405">
      <w:pPr>
        <w:rPr>
          <w:rFonts w:cs="Times New Roman"/>
        </w:rPr>
      </w:pPr>
      <w:r w:rsidRPr="00E87F7B">
        <w:rPr>
          <w:rFonts w:cs="Times New Roman"/>
          <w:b/>
        </w:rPr>
        <w:t>R8 Brno – Ostrava – Bohumín</w:t>
      </w:r>
      <w:r w:rsidRPr="00E87F7B">
        <w:rPr>
          <w:rFonts w:cs="Times New Roman"/>
        </w:rPr>
        <w:t>, interval 60´, souprava 400 osob, min. 160 km/h (do výstavby nové trati), elektrická trakce, ukončení v Brně (možnost průjezdu do kordónové stanice), časová poloha cca stávající dle konceptu na trati 300, úsilí po provázání Ex2 a R8 v Hranicích na Moravě dle možností infrastruktury, vybrané vlaky zastavují v Suchdole nad Odrou a ve Studénce. Příjezd po konvenční dráze. Ukončení/počátek linky v ŽST Bohumín, popř. Třinec.</w:t>
      </w:r>
    </w:p>
    <w:p w:rsidR="00D42405" w:rsidRPr="00E87F7B" w:rsidRDefault="00D42405" w:rsidP="00D42405">
      <w:pPr>
        <w:rPr>
          <w:rFonts w:cs="Times New Roman"/>
        </w:rPr>
      </w:pPr>
      <w:r w:rsidRPr="00E87F7B">
        <w:rPr>
          <w:rFonts w:cs="Times New Roman"/>
          <w:b/>
        </w:rPr>
        <w:t>R18 Praha – Pardubice – Olomouc – Ostrava</w:t>
      </w:r>
      <w:r w:rsidRPr="00E87F7B">
        <w:rPr>
          <w:rFonts w:cs="Times New Roman"/>
        </w:rPr>
        <w:t>, interval 60´ (v sedle 120´), souprava 250 osob, min. 160 km/h, elektrická trakce. Poloha vlaku závisí na uspořádání Ex1. Cílová stanice této linky rovněž závisí na uspořádání Ex1 a dohodě s regionální dopravou. Příjezd po konvenční dráze.</w:t>
      </w:r>
    </w:p>
    <w:p w:rsidR="00D42405" w:rsidRPr="00E87F7B" w:rsidRDefault="00D42405" w:rsidP="00D42405">
      <w:pPr>
        <w:rPr>
          <w:rFonts w:cs="Times New Roman"/>
        </w:rPr>
      </w:pPr>
      <w:r w:rsidRPr="00E87F7B">
        <w:rPr>
          <w:rFonts w:cs="Times New Roman"/>
          <w:b/>
        </w:rPr>
        <w:lastRenderedPageBreak/>
        <w:t>R27 Olomouc – Opava – Ostrava střed – Frýdek-Místek</w:t>
      </w:r>
      <w:r w:rsidRPr="00E87F7B">
        <w:rPr>
          <w:rFonts w:cs="Times New Roman"/>
        </w:rPr>
        <w:t xml:space="preserve">, interval 60´ ve spolupráci s regionální dopravou s vloženými s vloženými vlaky, souprava až 400 osob (výrazné špičkové výkyvy), poloha L:00 v Olomouci, dále dle stavu infrastruktury na předmětných dráhách (nyní křižování ve Valšově, Krnově, Ostravě-Svinov. Nezávislá trakce. Ukončení/začátek linky v ŽST Ostrava střed, popř. Frýdek-Místek. </w:t>
      </w:r>
    </w:p>
    <w:p w:rsidR="00D42405" w:rsidRPr="00E87F7B" w:rsidRDefault="00D42405" w:rsidP="00D42405">
      <w:pPr>
        <w:spacing w:after="0"/>
        <w:rPr>
          <w:rFonts w:cs="Times New Roman"/>
          <w:b/>
        </w:rPr>
      </w:pPr>
      <w:r w:rsidRPr="00E87F7B">
        <w:rPr>
          <w:rFonts w:cs="Times New Roman"/>
          <w:b/>
        </w:rPr>
        <w:t>Parametry souprav</w:t>
      </w:r>
    </w:p>
    <w:p w:rsidR="00D42405" w:rsidRPr="00E87F7B" w:rsidRDefault="00D42405" w:rsidP="00D42405">
      <w:pPr>
        <w:spacing w:after="0"/>
        <w:rPr>
          <w:rFonts w:cs="Times New Roman"/>
        </w:rPr>
      </w:pPr>
      <w:r w:rsidRPr="00E87F7B">
        <w:rPr>
          <w:rFonts w:cs="Times New Roman"/>
        </w:rPr>
        <w:t>Délka vlaků provozovaných v perspektivě roku 201</w:t>
      </w:r>
      <w:r>
        <w:rPr>
          <w:rFonts w:cs="Times New Roman"/>
        </w:rPr>
        <w:t>8-2019</w:t>
      </w:r>
      <w:r w:rsidRPr="00E87F7B">
        <w:rPr>
          <w:rFonts w:cs="Times New Roman"/>
        </w:rPr>
        <w:t xml:space="preserve"> se nebude výrazně lišit od délky vlaků provozovaných v době platnosti </w:t>
      </w:r>
      <w:r>
        <w:rPr>
          <w:rFonts w:cs="Times New Roman"/>
        </w:rPr>
        <w:t>aktuálních JŘ.</w:t>
      </w:r>
      <w:r w:rsidRPr="00E87F7B">
        <w:rPr>
          <w:rFonts w:cs="Times New Roman"/>
        </w:rPr>
        <w:t xml:space="preserve"> V souvislosti s perspektivami let 2025 a po roce 2040 (po dobudování sítě RS) lze předpokládat následující délky vlaků: v případě vlaků o kapacitě 400 oso lze předpokládat elektrickou jednotku expresní dopravy s délkou cca 200 metrů, v případě elektrické jednotky rychlíkové dopravy s kapacitou 250 osob délku cca 80 metrů. V případě linky R27 předpoklad využití spřažených jednotek nezávislé trakce s délkou cca až 150 metrů.</w:t>
      </w:r>
    </w:p>
    <w:p w:rsidR="00D42405" w:rsidRDefault="00D42405" w:rsidP="00D42405">
      <w:pPr>
        <w:rPr>
          <w:rFonts w:cs="Times New Roman"/>
        </w:rPr>
      </w:pPr>
      <w:r w:rsidRPr="00E87F7B">
        <w:rPr>
          <w:rFonts w:cs="Times New Roman"/>
        </w:rPr>
        <w:t>Vedení vlaků všech linek se předpokládá v době občanského dne, tj. cca od 6 do 22 hod. Noční doprava není uvedena, nepřepokládá se pro ni budování zvláštní infrastruktury, její podoba je silně závislá na mezinárodních jednáních a nelze ji takto v dlouhodobém horizontu předjímat.</w:t>
      </w:r>
    </w:p>
    <w:p w:rsidR="00D42405" w:rsidRPr="00377730" w:rsidRDefault="00D42405" w:rsidP="00D42405">
      <w:pPr>
        <w:rPr>
          <w:b/>
          <w:u w:val="single"/>
        </w:rPr>
      </w:pPr>
      <w:r w:rsidRPr="00377730">
        <w:rPr>
          <w:b/>
          <w:u w:val="single"/>
        </w:rPr>
        <w:t>Regionální osobní doprava – výhledový rozsah dopravy</w:t>
      </w:r>
    </w:p>
    <w:p w:rsidR="00D42405" w:rsidRDefault="00D42405" w:rsidP="00D42405">
      <w:pPr>
        <w:rPr>
          <w:rFonts w:cs="Times New Roman"/>
        </w:rPr>
      </w:pPr>
      <w:r w:rsidRPr="00E87F7B">
        <w:rPr>
          <w:rFonts w:cs="Times New Roman"/>
        </w:rPr>
        <w:t xml:space="preserve">Z hlediska vlakových souprav jsou dle KODIS předpokladem soupravy maximální délky 150 m, varianta souprav třívozová (případně spřažená třívozová souprava se soupravou dvouvozovou neb dvě soupravy třívozové). </w:t>
      </w:r>
      <w:r>
        <w:rPr>
          <w:rFonts w:cs="Times New Roman"/>
        </w:rPr>
        <w:t>Pro regionální dopravu budou v rámci uzlu Ostravy dimenzovány nástupištní hrany na délku 170 m.</w:t>
      </w:r>
    </w:p>
    <w:p w:rsidR="00BB6AEC" w:rsidRDefault="00BB6AEC" w:rsidP="00BB6AEC">
      <w:pPr>
        <w:pStyle w:val="Titulek"/>
        <w:keepNext/>
      </w:pPr>
      <w:r>
        <w:t xml:space="preserve">Tabulka </w:t>
      </w:r>
      <w:r w:rsidR="00EE1E67">
        <w:rPr>
          <w:noProof/>
        </w:rPr>
        <w:fldChar w:fldCharType="begin"/>
      </w:r>
      <w:r w:rsidR="00EE1E67">
        <w:rPr>
          <w:noProof/>
        </w:rPr>
        <w:instrText xml:space="preserve"> SEQ Tabulka \* ARABIC </w:instrText>
      </w:r>
      <w:r w:rsidR="00EE1E67">
        <w:rPr>
          <w:noProof/>
        </w:rPr>
        <w:fldChar w:fldCharType="separate"/>
      </w:r>
      <w:r w:rsidR="00EF042C">
        <w:rPr>
          <w:noProof/>
        </w:rPr>
        <w:t>1</w:t>
      </w:r>
      <w:r w:rsidR="00EE1E67">
        <w:rPr>
          <w:noProof/>
        </w:rPr>
        <w:fldChar w:fldCharType="end"/>
      </w:r>
      <w:r>
        <w:t xml:space="preserve"> Vedení regionální dopravy v uzlu Ostrava</w:t>
      </w:r>
    </w:p>
    <w:p w:rsidR="00377730" w:rsidRDefault="00377730" w:rsidP="00D42405">
      <w:pPr>
        <w:rPr>
          <w:rFonts w:cs="Times New Roman"/>
        </w:rPr>
      </w:pPr>
      <w:r w:rsidRPr="00377730">
        <w:rPr>
          <w:noProof/>
          <w:lang w:eastAsia="cs-CZ"/>
        </w:rPr>
        <w:drawing>
          <wp:inline distT="0" distB="0" distL="0" distR="0">
            <wp:extent cx="5760720" cy="4601551"/>
            <wp:effectExtent l="0" t="0" r="0" b="889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601551"/>
                    </a:xfrm>
                    <a:prstGeom prst="rect">
                      <a:avLst/>
                    </a:prstGeom>
                    <a:noFill/>
                    <a:ln>
                      <a:noFill/>
                    </a:ln>
                  </pic:spPr>
                </pic:pic>
              </a:graphicData>
            </a:graphic>
          </wp:inline>
        </w:drawing>
      </w:r>
    </w:p>
    <w:p w:rsidR="00D42405" w:rsidRPr="00E87F7B" w:rsidRDefault="00D42405" w:rsidP="0033475A">
      <w:pPr>
        <w:pStyle w:val="Nadpis3"/>
      </w:pPr>
      <w:bookmarkStart w:id="26" w:name="_Toc24961597"/>
      <w:bookmarkStart w:id="27" w:name="_Toc40186584"/>
      <w:r w:rsidRPr="00E87F7B">
        <w:t>Nákladní doprava</w:t>
      </w:r>
      <w:bookmarkEnd w:id="26"/>
      <w:bookmarkEnd w:id="27"/>
    </w:p>
    <w:p w:rsidR="00D42405" w:rsidRPr="00E87F7B" w:rsidRDefault="00D42405" w:rsidP="00D42405">
      <w:pPr>
        <w:rPr>
          <w:rFonts w:cs="Times New Roman"/>
        </w:rPr>
      </w:pPr>
      <w:r w:rsidRPr="00E87F7B">
        <w:rPr>
          <w:rFonts w:cs="Times New Roman"/>
        </w:rPr>
        <w:t>Současný a výhledový rozsah dopravy</w:t>
      </w:r>
      <w:r w:rsidR="00C93EE3">
        <w:rPr>
          <w:rFonts w:cs="Times New Roman"/>
        </w:rPr>
        <w:t xml:space="preserve"> byl poskytnout SŽ</w:t>
      </w:r>
      <w:r>
        <w:rPr>
          <w:rFonts w:cs="Times New Roman"/>
        </w:rPr>
        <w:t xml:space="preserve"> GŘ O26.</w:t>
      </w:r>
    </w:p>
    <w:p w:rsidR="00BB6AEC" w:rsidRDefault="00BB6AEC" w:rsidP="00BB6AEC">
      <w:pPr>
        <w:pStyle w:val="Titulek"/>
        <w:keepNext/>
      </w:pPr>
      <w:r>
        <w:lastRenderedPageBreak/>
        <w:t xml:space="preserve">Tabulka </w:t>
      </w:r>
      <w:r w:rsidR="00EE1E67">
        <w:rPr>
          <w:noProof/>
        </w:rPr>
        <w:fldChar w:fldCharType="begin"/>
      </w:r>
      <w:r w:rsidR="00EE1E67">
        <w:rPr>
          <w:noProof/>
        </w:rPr>
        <w:instrText xml:space="preserve"> SEQ Tabulka \* ARABIC </w:instrText>
      </w:r>
      <w:r w:rsidR="00EE1E67">
        <w:rPr>
          <w:noProof/>
        </w:rPr>
        <w:fldChar w:fldCharType="separate"/>
      </w:r>
      <w:r w:rsidR="00EF042C">
        <w:rPr>
          <w:noProof/>
        </w:rPr>
        <w:t>2</w:t>
      </w:r>
      <w:r w:rsidR="00EE1E67">
        <w:rPr>
          <w:noProof/>
        </w:rPr>
        <w:fldChar w:fldCharType="end"/>
      </w:r>
      <w:r>
        <w:t xml:space="preserve"> Výhledové počty nákladních vlaků v uzlu Ostrava</w:t>
      </w:r>
    </w:p>
    <w:p w:rsidR="00D42405" w:rsidRPr="00E87F7B" w:rsidRDefault="00377730" w:rsidP="00D42405">
      <w:pPr>
        <w:rPr>
          <w:rFonts w:cs="Times New Roman"/>
          <w:i/>
        </w:rPr>
      </w:pPr>
      <w:r w:rsidRPr="00377730">
        <w:rPr>
          <w:noProof/>
          <w:lang w:eastAsia="cs-CZ"/>
        </w:rPr>
        <w:drawing>
          <wp:inline distT="0" distB="0" distL="0" distR="0">
            <wp:extent cx="5526000" cy="29052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6000" cy="2905200"/>
                    </a:xfrm>
                    <a:prstGeom prst="rect">
                      <a:avLst/>
                    </a:prstGeom>
                    <a:noFill/>
                    <a:ln>
                      <a:noFill/>
                    </a:ln>
                  </pic:spPr>
                </pic:pic>
              </a:graphicData>
            </a:graphic>
          </wp:inline>
        </w:drawing>
      </w:r>
      <w:r w:rsidR="00D42405" w:rsidRPr="00E87F7B">
        <w:rPr>
          <w:rFonts w:cs="Times New Roman"/>
          <w:i/>
        </w:rPr>
        <w:t xml:space="preserve">* Pokles je zde způsoben tím, že dle NJŘ končí/začínají nákladní vlaky od/do Bohumína v ŽST Ostrava </w:t>
      </w:r>
      <w:r w:rsidR="000F38E0">
        <w:rPr>
          <w:rFonts w:cs="Times New Roman"/>
          <w:i/>
        </w:rPr>
        <w:t>hl.n.</w:t>
      </w:r>
      <w:r w:rsidR="00D42405" w:rsidRPr="00E87F7B">
        <w:rPr>
          <w:rFonts w:cs="Times New Roman"/>
          <w:i/>
        </w:rPr>
        <w:t xml:space="preserve"> (obvod osobní nádraží). V případě ukončení/začátku všech těchto vlaků od Bohumína v oblasti Ostrava-Mariánské Hory lze uvažovat v tomto traťovém úseku se 145 vlaky v max. varianci (denní průměr 85 vlaků).</w:t>
      </w:r>
    </w:p>
    <w:p w:rsidR="00D42405" w:rsidRDefault="00D42405" w:rsidP="00D42405">
      <w:pPr>
        <w:rPr>
          <w:rFonts w:cs="Times New Roman"/>
          <w:i/>
        </w:rPr>
      </w:pPr>
      <w:r w:rsidRPr="00E87F7B">
        <w:rPr>
          <w:rFonts w:cs="Times New Roman"/>
          <w:i/>
        </w:rPr>
        <w:t xml:space="preserve">** Maximální rozsah dopravy v úseku Ostrava </w:t>
      </w:r>
      <w:r w:rsidR="000F38E0">
        <w:rPr>
          <w:rFonts w:cs="Times New Roman"/>
          <w:i/>
        </w:rPr>
        <w:t>hl.n.</w:t>
      </w:r>
      <w:r w:rsidRPr="00E87F7B">
        <w:rPr>
          <w:rFonts w:cs="Times New Roman"/>
          <w:i/>
        </w:rPr>
        <w:t xml:space="preserve"> – Ostrava střed. Z Ostravy středu směr Ostrava-Kunčice je rozsah dopravy 41 vlaků v max. variaci (denní průměr 24 vlaků).</w:t>
      </w:r>
    </w:p>
    <w:p w:rsidR="002C42CB" w:rsidRDefault="002C42CB" w:rsidP="0033475A">
      <w:pPr>
        <w:pStyle w:val="Nadpis3"/>
      </w:pPr>
      <w:bookmarkStart w:id="28" w:name="_Toc40186585"/>
      <w:r>
        <w:t>Návrh vozby pro jednotlivé relace</w:t>
      </w:r>
      <w:bookmarkEnd w:id="28"/>
    </w:p>
    <w:p w:rsidR="002C42CB" w:rsidRPr="009E3B97" w:rsidRDefault="002C42CB" w:rsidP="009E3B97">
      <w:pPr>
        <w:rPr>
          <w:rFonts w:cs="Arial"/>
          <w:b/>
        </w:rPr>
      </w:pPr>
      <w:r w:rsidRPr="009E3B97">
        <w:rPr>
          <w:rFonts w:cs="Arial"/>
          <w:b/>
        </w:rPr>
        <w:t>Regionální doprava</w:t>
      </w:r>
    </w:p>
    <w:p w:rsidR="009E3B97" w:rsidRPr="009E3B97" w:rsidRDefault="009E3B97" w:rsidP="002C42CB">
      <w:pPr>
        <w:rPr>
          <w:rFonts w:cs="Arial"/>
        </w:rPr>
      </w:pPr>
      <w:r w:rsidRPr="009E3B97">
        <w:rPr>
          <w:rFonts w:cs="Arial"/>
        </w:rPr>
        <w:t>S1A - Dvou až třívozová el. jednotka (RegioPanter…)</w:t>
      </w:r>
    </w:p>
    <w:p w:rsidR="009E3B97" w:rsidRPr="009E3B97" w:rsidRDefault="009E3B97" w:rsidP="002C42CB">
      <w:pPr>
        <w:rPr>
          <w:rFonts w:cs="Arial"/>
        </w:rPr>
      </w:pPr>
      <w:r w:rsidRPr="009E3B97">
        <w:rPr>
          <w:rFonts w:cs="Arial"/>
        </w:rPr>
        <w:t>S1B – Dvou až třívozová el. jednotka (RegioPanter…)</w:t>
      </w:r>
    </w:p>
    <w:p w:rsidR="009E3B97" w:rsidRPr="009E3B97" w:rsidRDefault="009E3B97" w:rsidP="002C42CB">
      <w:pPr>
        <w:rPr>
          <w:rFonts w:cs="Arial"/>
        </w:rPr>
      </w:pPr>
      <w:r w:rsidRPr="009E3B97">
        <w:rPr>
          <w:rFonts w:cs="Arial"/>
        </w:rPr>
        <w:t>S2 – Dvou až třívozová el. jednotka (RegioPanter…)</w:t>
      </w:r>
    </w:p>
    <w:p w:rsidR="009E3B97" w:rsidRPr="009E3B97" w:rsidRDefault="009E3B97" w:rsidP="002C42CB">
      <w:pPr>
        <w:rPr>
          <w:rFonts w:cs="Arial"/>
        </w:rPr>
      </w:pPr>
      <w:r w:rsidRPr="009E3B97">
        <w:rPr>
          <w:rFonts w:cs="Arial"/>
        </w:rPr>
        <w:t>S3 – Dvou až třívozová el. jednotka (RegioPanter…)</w:t>
      </w:r>
    </w:p>
    <w:p w:rsidR="009E3B97" w:rsidRPr="009E3B97" w:rsidRDefault="009E3B97" w:rsidP="002C42CB">
      <w:pPr>
        <w:rPr>
          <w:rFonts w:cs="Arial"/>
        </w:rPr>
      </w:pPr>
      <w:r w:rsidRPr="009E3B97">
        <w:rPr>
          <w:rFonts w:cs="Arial"/>
        </w:rPr>
        <w:t>S4 – Dvou až třívozová el. jednotka (RegioPanter…)</w:t>
      </w:r>
    </w:p>
    <w:p w:rsidR="009E3B97" w:rsidRPr="009E3B97" w:rsidRDefault="009E3B97" w:rsidP="002C42CB">
      <w:pPr>
        <w:rPr>
          <w:rFonts w:cs="Arial"/>
        </w:rPr>
      </w:pPr>
      <w:r w:rsidRPr="009E3B97">
        <w:rPr>
          <w:rFonts w:cs="Arial"/>
        </w:rPr>
        <w:t>S5 – Push-Pull třívozová souprava Škoda Transportation. Z počátku motorová trakce, po elektrizaci tratě směr Frenštát pod Radhoštěm výměna lokomotivy za elektrickou.</w:t>
      </w:r>
    </w:p>
    <w:p w:rsidR="009E3B97" w:rsidRPr="009E3B97" w:rsidRDefault="009E3B97" w:rsidP="002C42CB">
      <w:pPr>
        <w:rPr>
          <w:rFonts w:cs="Arial"/>
        </w:rPr>
      </w:pPr>
      <w:r w:rsidRPr="009E3B97">
        <w:rPr>
          <w:rFonts w:cs="Arial"/>
        </w:rPr>
        <w:t>S6 – Push-Pull třívozová souprava Škoda Transportation. Z počátku motorová trakce, po elektrizaci tratě směr Frenštát pod Radhoštěm výměna lokomotivy za elektrickou.</w:t>
      </w:r>
    </w:p>
    <w:p w:rsidR="009E3B97" w:rsidRPr="009E3B97" w:rsidRDefault="009E3B97" w:rsidP="002C42CB">
      <w:pPr>
        <w:rPr>
          <w:rFonts w:cs="Arial"/>
        </w:rPr>
      </w:pPr>
      <w:r w:rsidRPr="009E3B97">
        <w:rPr>
          <w:rFonts w:cs="Arial"/>
        </w:rPr>
        <w:t>S8 – Dvou až třívozová el. jednotka (RegioPanter…)</w:t>
      </w:r>
    </w:p>
    <w:p w:rsidR="009E3B97" w:rsidRPr="009E3B97" w:rsidRDefault="009E3B97" w:rsidP="002C42CB">
      <w:pPr>
        <w:rPr>
          <w:rFonts w:cs="Arial"/>
        </w:rPr>
      </w:pPr>
      <w:r w:rsidRPr="009E3B97">
        <w:rPr>
          <w:rFonts w:cs="Arial"/>
        </w:rPr>
        <w:t>R61 – Dvou až třívozová el. jednotka (RegioPanter…)</w:t>
      </w:r>
    </w:p>
    <w:p w:rsidR="009E3B97" w:rsidRPr="009E3B97" w:rsidRDefault="009E3B97" w:rsidP="002C42CB">
      <w:pPr>
        <w:rPr>
          <w:rFonts w:cs="Arial"/>
        </w:rPr>
      </w:pPr>
      <w:r w:rsidRPr="009E3B97">
        <w:rPr>
          <w:rFonts w:cs="Arial"/>
        </w:rPr>
        <w:t>R62 – Push-Pull třívozová souprava Škoda Transportation. Z počátku motorová trakce, po elektrizaci tratě směr Frenštát pod Radhoštěm výměna lokomotivy za elektrickou.</w:t>
      </w:r>
    </w:p>
    <w:p w:rsidR="009E3B97" w:rsidRPr="009E3B97" w:rsidRDefault="009E3B97" w:rsidP="002C42CB">
      <w:pPr>
        <w:rPr>
          <w:rFonts w:cs="Arial"/>
        </w:rPr>
      </w:pPr>
      <w:r w:rsidRPr="009E3B97">
        <w:rPr>
          <w:rFonts w:cs="Arial"/>
        </w:rPr>
        <w:t>R63 – Push-Pull třívozová souprava Škoda Transportation. Z počátku motorová trakce, po elektrizaci tratě směr Frenštát pod Radhoštěm výměna lokomotivy za elektrickou.</w:t>
      </w:r>
    </w:p>
    <w:p w:rsidR="002C42CB" w:rsidRDefault="002C42CB" w:rsidP="002C42CB">
      <w:pPr>
        <w:pStyle w:val="Nadpis1"/>
      </w:pPr>
      <w:bookmarkStart w:id="29" w:name="_Toc24713947"/>
      <w:bookmarkStart w:id="30" w:name="_Toc40186586"/>
      <w:r>
        <w:t>Analýza přepravního trhu</w:t>
      </w:r>
      <w:bookmarkEnd w:id="29"/>
      <w:bookmarkEnd w:id="30"/>
    </w:p>
    <w:p w:rsidR="00FF7D35" w:rsidRDefault="00FF7D35" w:rsidP="00FF7D35">
      <w:pPr>
        <w:rPr>
          <w:rFonts w:cs="Arial"/>
        </w:rPr>
      </w:pPr>
      <w:bookmarkStart w:id="31" w:name="_Toc24713949"/>
      <w:r w:rsidRPr="00112E50">
        <w:rPr>
          <w:rFonts w:cs="Arial"/>
        </w:rPr>
        <w:t xml:space="preserve">Pro účely </w:t>
      </w:r>
      <w:r>
        <w:rPr>
          <w:rFonts w:cs="Arial"/>
        </w:rPr>
        <w:t xml:space="preserve">dopravního a </w:t>
      </w:r>
      <w:r w:rsidRPr="00112E50">
        <w:rPr>
          <w:rFonts w:cs="Arial"/>
        </w:rPr>
        <w:t xml:space="preserve">ekonomického hodnocení </w:t>
      </w:r>
      <w:r w:rsidR="006B71C4">
        <w:rPr>
          <w:rFonts w:cs="Arial"/>
        </w:rPr>
        <w:t>byly</w:t>
      </w:r>
      <w:r w:rsidRPr="00112E50">
        <w:rPr>
          <w:rFonts w:cs="Arial"/>
        </w:rPr>
        <w:t xml:space="preserve"> vypočten</w:t>
      </w:r>
      <w:r>
        <w:rPr>
          <w:rFonts w:cs="Arial"/>
        </w:rPr>
        <w:t>y</w:t>
      </w:r>
      <w:r w:rsidRPr="00112E50">
        <w:rPr>
          <w:rFonts w:cs="Arial"/>
        </w:rPr>
        <w:t xml:space="preserve"> prognóz</w:t>
      </w:r>
      <w:r>
        <w:rPr>
          <w:rFonts w:cs="Arial"/>
        </w:rPr>
        <w:t>y</w:t>
      </w:r>
      <w:r w:rsidRPr="00112E50">
        <w:rPr>
          <w:rFonts w:cs="Arial"/>
        </w:rPr>
        <w:t xml:space="preserve"> pro </w:t>
      </w:r>
      <w:r w:rsidRPr="004B6783">
        <w:rPr>
          <w:rFonts w:cs="Arial"/>
        </w:rPr>
        <w:t>roky 2021, 2025 a 2055,</w:t>
      </w:r>
      <w:r w:rsidRPr="00112E50">
        <w:rPr>
          <w:rFonts w:cs="Arial"/>
        </w:rPr>
        <w:t xml:space="preserve"> a to jak pro individuální automobilovou dopravu, tak pro veřejnou hromadnou dopravu</w:t>
      </w:r>
      <w:r>
        <w:rPr>
          <w:rFonts w:cs="Arial"/>
        </w:rPr>
        <w:t xml:space="preserve"> a nákladní železniční dopravu</w:t>
      </w:r>
      <w:r w:rsidRPr="00112E50">
        <w:rPr>
          <w:rFonts w:cs="Arial"/>
        </w:rPr>
        <w:t>.</w:t>
      </w:r>
    </w:p>
    <w:p w:rsidR="00FF7D35" w:rsidRPr="006B71C4" w:rsidRDefault="00FF7D35" w:rsidP="00D62572">
      <w:pPr>
        <w:pStyle w:val="Odstavecseseznamem"/>
        <w:numPr>
          <w:ilvl w:val="0"/>
          <w:numId w:val="38"/>
        </w:numPr>
        <w:rPr>
          <w:rFonts w:cs="Arial"/>
        </w:rPr>
      </w:pPr>
      <w:r w:rsidRPr="006B71C4">
        <w:rPr>
          <w:rFonts w:cs="Arial"/>
        </w:rPr>
        <w:lastRenderedPageBreak/>
        <w:t>Rok 2021 je rokem počátku výstavby.</w:t>
      </w:r>
    </w:p>
    <w:p w:rsidR="00FF7D35" w:rsidRPr="006B71C4" w:rsidRDefault="00FF7D35" w:rsidP="00D62572">
      <w:pPr>
        <w:pStyle w:val="Odstavecseseznamem"/>
        <w:numPr>
          <w:ilvl w:val="0"/>
          <w:numId w:val="38"/>
        </w:numPr>
        <w:rPr>
          <w:rFonts w:cs="Arial"/>
        </w:rPr>
      </w:pPr>
      <w:r w:rsidRPr="006B71C4">
        <w:rPr>
          <w:rFonts w:cs="Arial"/>
        </w:rPr>
        <w:t>Rok 2025 je rokem zprovoznění železničního uzlu Ostrava a zároveň zprovozněním rekonstrukce tratě Brno – Přerov.</w:t>
      </w:r>
    </w:p>
    <w:p w:rsidR="00FF7D35" w:rsidRPr="006B71C4" w:rsidRDefault="00FF7D35" w:rsidP="00D62572">
      <w:pPr>
        <w:pStyle w:val="Odstavecseseznamem"/>
        <w:numPr>
          <w:ilvl w:val="0"/>
          <w:numId w:val="38"/>
        </w:numPr>
        <w:rPr>
          <w:rFonts w:cs="Arial"/>
        </w:rPr>
      </w:pPr>
      <w:r w:rsidRPr="006B71C4">
        <w:rPr>
          <w:rFonts w:cs="Arial"/>
        </w:rPr>
        <w:t>Rok 2055 je konečným rokem pro ekonomické hodnocení variant.</w:t>
      </w:r>
    </w:p>
    <w:p w:rsidR="00FF7D35" w:rsidRDefault="00FF7D35" w:rsidP="00FF7D35">
      <w:pPr>
        <w:rPr>
          <w:rFonts w:cs="Arial"/>
        </w:rPr>
      </w:pPr>
      <w:r>
        <w:rPr>
          <w:rFonts w:cs="Arial"/>
        </w:rPr>
        <w:t>Z hlediska individuální dopravy odpovídá rozvoj komunikační sítě v jednotlivých letech předpokládanému harmonogramu výstavby (viz předchozí kapitola). Vlivem nových komunikací dochází k přesunu zátěží na nové komunikace.</w:t>
      </w:r>
    </w:p>
    <w:p w:rsidR="00FF7D35" w:rsidRDefault="00FF7D35" w:rsidP="00FF7D35">
      <w:pPr>
        <w:rPr>
          <w:rFonts w:cs="Arial"/>
        </w:rPr>
      </w:pPr>
      <w:r>
        <w:rPr>
          <w:rFonts w:cs="Arial"/>
        </w:rPr>
        <w:t>Z hlediska veřejné hromadné dopravy je posuzováno celkem 5</w:t>
      </w:r>
      <w:r w:rsidRPr="00577E96">
        <w:rPr>
          <w:rFonts w:cs="Arial"/>
        </w:rPr>
        <w:t xml:space="preserve"> </w:t>
      </w:r>
      <w:r>
        <w:rPr>
          <w:rFonts w:cs="Arial"/>
        </w:rPr>
        <w:t>hlavních scénářů, obsahujících 3 podvarianty.</w:t>
      </w:r>
    </w:p>
    <w:p w:rsidR="00FF7D35" w:rsidRDefault="006B71C4" w:rsidP="00FF7D35">
      <w:r>
        <w:t>Provozní koncept v</w:t>
      </w:r>
      <w:r w:rsidR="00FF7D35">
        <w:t>ariant</w:t>
      </w:r>
      <w:r>
        <w:t>y</w:t>
      </w:r>
      <w:r w:rsidR="00FF7D35">
        <w:t xml:space="preserve"> bez projektu (BP) vychází z varianty 1 s těmito změnami:</w:t>
      </w:r>
    </w:p>
    <w:p w:rsidR="00FF7D35" w:rsidRDefault="00FF7D35" w:rsidP="00FF7D35">
      <w:pPr>
        <w:pStyle w:val="Odstavecseseznamem"/>
        <w:numPr>
          <w:ilvl w:val="0"/>
          <w:numId w:val="12"/>
        </w:numPr>
        <w:spacing w:before="160" w:after="0" w:line="288" w:lineRule="auto"/>
        <w:jc w:val="left"/>
      </w:pPr>
      <w:r>
        <w:t>linka S1 pojede v intervalu 60 minut,</w:t>
      </w:r>
    </w:p>
    <w:p w:rsidR="00FF7D35" w:rsidRDefault="00FF7D35" w:rsidP="00FF7D35">
      <w:pPr>
        <w:pStyle w:val="Odstavecseseznamem"/>
        <w:numPr>
          <w:ilvl w:val="0"/>
          <w:numId w:val="12"/>
        </w:numPr>
        <w:spacing w:before="160" w:after="0" w:line="288" w:lineRule="auto"/>
        <w:jc w:val="left"/>
      </w:pPr>
      <w:r>
        <w:t>linka S2 bude ukončena ve stanici Ostrava hl.n.,</w:t>
      </w:r>
    </w:p>
    <w:p w:rsidR="00FF7D35" w:rsidRDefault="00FF7D35" w:rsidP="00FF7D35">
      <w:pPr>
        <w:pStyle w:val="Odstavecseseznamem"/>
        <w:numPr>
          <w:ilvl w:val="0"/>
          <w:numId w:val="12"/>
        </w:numPr>
        <w:spacing w:before="160" w:after="0" w:line="288" w:lineRule="auto"/>
        <w:jc w:val="left"/>
      </w:pPr>
      <w:r>
        <w:t xml:space="preserve">odjezd linky S4 </w:t>
      </w:r>
      <w:r w:rsidRPr="00C44C10">
        <w:t>ze stanice Ostrava hl.n. směr Ostrava-Svinov</w:t>
      </w:r>
      <w:r w:rsidRPr="004C1984">
        <w:t xml:space="preserve"> </w:t>
      </w:r>
      <w:r>
        <w:t>bude opožděn o 3 minuty,</w:t>
      </w:r>
    </w:p>
    <w:p w:rsidR="00FF7D35" w:rsidRDefault="00FF7D35" w:rsidP="00FF7D35">
      <w:pPr>
        <w:pStyle w:val="Odstavecseseznamem"/>
        <w:numPr>
          <w:ilvl w:val="0"/>
          <w:numId w:val="12"/>
        </w:numPr>
        <w:spacing w:before="160" w:after="0" w:line="288" w:lineRule="auto"/>
        <w:jc w:val="left"/>
      </w:pPr>
      <w:r>
        <w:t>dochází k redukci počtu nákladních vlaků (viz kap. 4.3.3).</w:t>
      </w:r>
    </w:p>
    <w:p w:rsidR="00FF7D35" w:rsidRDefault="00FF7D35" w:rsidP="00FF7D35">
      <w:pPr>
        <w:rPr>
          <w:rFonts w:cs="Arial"/>
        </w:rPr>
      </w:pPr>
      <w:r>
        <w:t>Výstupem z dopravního modelu jsou počty cestujících v mezizastávkových úsecích na železničních tratích, autobusových linkách a linkách MHD pro současný stav a pro pět variant ve výhledových horizontech. Grafické výstupy z dopravního modelu jsou zobrazeny v grafických přílohách a jsou v nich uvedeny celodenní hodnoty počtu cestujících pro průměrný pracovní den.</w:t>
      </w:r>
    </w:p>
    <w:p w:rsidR="002C42CB" w:rsidRDefault="002C42CB" w:rsidP="002C42CB">
      <w:pPr>
        <w:pStyle w:val="Nadpis2"/>
      </w:pPr>
      <w:bookmarkStart w:id="32" w:name="_Toc40186587"/>
      <w:r>
        <w:t>Přepravní prognóza osobní dopravy</w:t>
      </w:r>
      <w:bookmarkEnd w:id="31"/>
      <w:bookmarkEnd w:id="32"/>
    </w:p>
    <w:p w:rsidR="00FF7D35" w:rsidRPr="003E2438" w:rsidRDefault="00FF7D35" w:rsidP="00FF7D35">
      <w:bookmarkStart w:id="33" w:name="_Toc24713953"/>
      <w:r>
        <w:t xml:space="preserve">V následujících tabulkách jsou uvedené počty cestujících v jednotlivých úsecích železničního uzlu Ostrava, počty spojů a výsledné průměrné počty cestujících na úsecích. </w:t>
      </w:r>
    </w:p>
    <w:p w:rsidR="0033475A" w:rsidRDefault="0033475A" w:rsidP="0033475A">
      <w:pPr>
        <w:pStyle w:val="Titulek"/>
        <w:keepNext/>
      </w:pPr>
      <w:r>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3</w:t>
      </w:r>
      <w:r w:rsidR="00115166">
        <w:rPr>
          <w:noProof/>
        </w:rPr>
        <w:fldChar w:fldCharType="end"/>
      </w:r>
      <w:r>
        <w:t xml:space="preserve"> </w:t>
      </w:r>
      <w:r w:rsidRPr="00F14E9E">
        <w:t>Počet cestujících na úsecích – rok 2025</w:t>
      </w:r>
    </w:p>
    <w:tbl>
      <w:tblPr>
        <w:tblW w:w="7938" w:type="dxa"/>
        <w:tblInd w:w="55" w:type="dxa"/>
        <w:tblCellMar>
          <w:left w:w="70" w:type="dxa"/>
          <w:right w:w="70" w:type="dxa"/>
        </w:tblCellMar>
        <w:tblLook w:val="04A0" w:firstRow="1" w:lastRow="0" w:firstColumn="1" w:lastColumn="0" w:noHBand="0" w:noVBand="1"/>
      </w:tblPr>
      <w:tblGrid>
        <w:gridCol w:w="461"/>
        <w:gridCol w:w="2717"/>
        <w:gridCol w:w="680"/>
        <w:gridCol w:w="680"/>
        <w:gridCol w:w="680"/>
        <w:gridCol w:w="680"/>
        <w:gridCol w:w="680"/>
        <w:gridCol w:w="680"/>
        <w:gridCol w:w="680"/>
      </w:tblGrid>
      <w:tr w:rsidR="00FF7D35" w:rsidRPr="003E2438" w:rsidTr="009C4FBA">
        <w:trPr>
          <w:trHeight w:val="300"/>
        </w:trPr>
        <w:tc>
          <w:tcPr>
            <w:tcW w:w="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 </w:t>
            </w: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 </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BP</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1</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1a</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1b</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2</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3</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3E2438" w:rsidRDefault="00FF7D35" w:rsidP="009C4FBA">
            <w:pPr>
              <w:jc w:val="center"/>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var. 4</w:t>
            </w:r>
          </w:p>
        </w:tc>
      </w:tr>
      <w:tr w:rsidR="00FF7D35" w:rsidRPr="003E2438" w:rsidTr="009C4FBA">
        <w:trPr>
          <w:trHeight w:val="300"/>
        </w:trPr>
        <w:tc>
          <w:tcPr>
            <w:tcW w:w="4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270</w:t>
            </w: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Jistebník</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Polanka nad Odrou</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26 800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26 900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26 900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26 850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26 900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26 900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26 800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Polanka nad Odrou</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Ostrava-Svinov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26 700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26 750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26 750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26 750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26 750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26 750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26 700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Ostrava-Svinov</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Ostrava-Mar. Hory</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16 050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18 250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16 300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Ostrava-Mar. Hory</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w:t>
            </w:r>
            <w:r w:rsidR="000F38E0">
              <w:rPr>
                <w:rFonts w:asciiTheme="majorHAnsi" w:eastAsia="Times New Roman" w:hAnsiTheme="majorHAnsi" w:cs="Calibri"/>
                <w:color w:val="000000"/>
                <w:sz w:val="15"/>
                <w:szCs w:val="15"/>
                <w:lang w:eastAsia="cs-CZ"/>
              </w:rPr>
              <w:t>hl.n.</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16 050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18 250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18 200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18 200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16 400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 xml:space="preserve">Ostrava </w:t>
            </w:r>
            <w:r w:rsidR="000F38E0">
              <w:rPr>
                <w:rFonts w:asciiTheme="majorHAnsi" w:eastAsia="Times New Roman" w:hAnsiTheme="majorHAnsi" w:cs="Calibri"/>
                <w:color w:val="000000"/>
                <w:sz w:val="15"/>
                <w:szCs w:val="15"/>
                <w:lang w:eastAsia="cs-CZ"/>
              </w:rPr>
              <w:t>hl.n.</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Ostrava-Hrušov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9 450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10 600</w:t>
            </w:r>
          </w:p>
        </w:tc>
      </w:tr>
      <w:tr w:rsidR="00FF7D35" w:rsidRPr="003E2438" w:rsidTr="009C4FBA">
        <w:trPr>
          <w:trHeight w:val="300"/>
        </w:trPr>
        <w:tc>
          <w:tcPr>
            <w:tcW w:w="4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323</w:t>
            </w: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 xml:space="preserve">Ostrava </w:t>
            </w:r>
            <w:r w:rsidR="000F38E0">
              <w:rPr>
                <w:rFonts w:asciiTheme="majorHAnsi" w:eastAsia="Times New Roman" w:hAnsiTheme="majorHAnsi" w:cs="Calibri"/>
                <w:color w:val="000000"/>
                <w:sz w:val="15"/>
                <w:szCs w:val="15"/>
                <w:lang w:eastAsia="cs-CZ"/>
              </w:rPr>
              <w:t>hl.n.</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Ostrava-Kunčice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10 150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10 250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10 300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9 200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Ostrava-Kunčice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Vratimov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7 300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7 650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7 650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7 850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7 650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7 650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7 300</w:t>
            </w:r>
          </w:p>
        </w:tc>
      </w:tr>
      <w:tr w:rsidR="00FF7D35" w:rsidRPr="003E2438" w:rsidTr="009C4FBA">
        <w:trPr>
          <w:trHeight w:val="300"/>
        </w:trPr>
        <w:tc>
          <w:tcPr>
            <w:tcW w:w="4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321</w:t>
            </w: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Ostrava-Třebovice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Ostrava-Svinov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8 150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Ostrava-Svinov</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Ostrava-Vítkovice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4 450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4 300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4 350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4 300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4 350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4 350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5 400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Ostrava-Vítkovice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Ostrava-Kunčice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5 400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5 150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5 150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5 150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5 700</w:t>
            </w:r>
          </w:p>
        </w:tc>
      </w:tr>
      <w:tr w:rsidR="00FF7D35" w:rsidRPr="003E2438" w:rsidTr="009C4FBA">
        <w:trPr>
          <w:trHeight w:val="300"/>
        </w:trPr>
        <w:tc>
          <w:tcPr>
            <w:tcW w:w="4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7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Ostrava-Kunčice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Ostrava-Bartovice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E2438" w:rsidRDefault="00FF7D35" w:rsidP="009C4FBA">
            <w:pPr>
              <w:jc w:val="righ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8 850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8 400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8 400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8 400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D27EEA" w:rsidRDefault="00FF7D35" w:rsidP="009C4FBA">
            <w:pPr>
              <w:jc w:val="center"/>
              <w:rPr>
                <w:rFonts w:asciiTheme="majorHAnsi" w:eastAsia="Times New Roman" w:hAnsiTheme="majorHAnsi" w:cs="Calibri"/>
                <w:color w:val="000000"/>
                <w:sz w:val="15"/>
                <w:szCs w:val="15"/>
                <w:lang w:eastAsia="cs-CZ"/>
              </w:rPr>
            </w:pPr>
            <w:r w:rsidRPr="00D27EEA">
              <w:rPr>
                <w:rFonts w:asciiTheme="majorHAnsi" w:eastAsia="Times New Roman" w:hAnsiTheme="majorHAnsi" w:cs="Calibri"/>
                <w:color w:val="000000"/>
                <w:sz w:val="15"/>
                <w:szCs w:val="15"/>
                <w:lang w:eastAsia="cs-CZ"/>
              </w:rPr>
              <w:t>8 200</w:t>
            </w:r>
          </w:p>
        </w:tc>
      </w:tr>
    </w:tbl>
    <w:p w:rsidR="00FF7D35" w:rsidRDefault="00FF7D35" w:rsidP="006B149C">
      <w:pPr>
        <w:autoSpaceDE w:val="0"/>
        <w:autoSpaceDN w:val="0"/>
        <w:adjustRightInd w:val="0"/>
        <w:spacing w:after="0"/>
        <w:jc w:val="left"/>
      </w:pPr>
      <w:r>
        <w:t xml:space="preserve">V roce 2055 </w:t>
      </w:r>
      <w:r w:rsidR="006B149C">
        <w:t>je navíc hodnocena varianta 2.2, která</w:t>
      </w:r>
      <w:r w:rsidR="006B149C">
        <w:rPr>
          <w:rFonts w:ascii="Verdana" w:hAnsi="Verdana" w:cs="Verdana"/>
          <w:sz w:val="18"/>
          <w:szCs w:val="18"/>
        </w:rPr>
        <w:t xml:space="preserve"> uvažuje se zprovozněním VRT.</w:t>
      </w:r>
    </w:p>
    <w:p w:rsidR="0033475A" w:rsidRDefault="0033475A" w:rsidP="0033475A">
      <w:pPr>
        <w:pStyle w:val="Titulek"/>
        <w:keepNext/>
      </w:pPr>
      <w:r>
        <w:lastRenderedPageBreak/>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4</w:t>
      </w:r>
      <w:r w:rsidR="00115166">
        <w:rPr>
          <w:noProof/>
        </w:rPr>
        <w:fldChar w:fldCharType="end"/>
      </w:r>
      <w:r>
        <w:t xml:space="preserve"> </w:t>
      </w:r>
      <w:r w:rsidRPr="00325F48">
        <w:t>Počet cestujících na úsecích – rok 2055</w:t>
      </w:r>
    </w:p>
    <w:tbl>
      <w:tblPr>
        <w:tblW w:w="8021" w:type="dxa"/>
        <w:tblInd w:w="55" w:type="dxa"/>
        <w:tblCellMar>
          <w:left w:w="70" w:type="dxa"/>
          <w:right w:w="70" w:type="dxa"/>
        </w:tblCellMar>
        <w:tblLook w:val="04A0" w:firstRow="1" w:lastRow="0" w:firstColumn="1" w:lastColumn="0" w:noHBand="0" w:noVBand="1"/>
      </w:tblPr>
      <w:tblGrid>
        <w:gridCol w:w="427"/>
        <w:gridCol w:w="2154"/>
        <w:gridCol w:w="680"/>
        <w:gridCol w:w="680"/>
        <w:gridCol w:w="680"/>
        <w:gridCol w:w="680"/>
        <w:gridCol w:w="680"/>
        <w:gridCol w:w="680"/>
        <w:gridCol w:w="680"/>
        <w:gridCol w:w="680"/>
      </w:tblGrid>
      <w:tr w:rsidR="00FF7D35" w:rsidRPr="003E2438" w:rsidTr="009C4FBA">
        <w:trPr>
          <w:trHeight w:val="300"/>
        </w:trPr>
        <w:tc>
          <w:tcPr>
            <w:tcW w:w="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 </w:t>
            </w: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b/>
                <w:color w:val="000000"/>
                <w:sz w:val="15"/>
                <w:szCs w:val="15"/>
                <w:lang w:eastAsia="cs-CZ"/>
              </w:rPr>
            </w:pPr>
            <w:r w:rsidRPr="003E2438">
              <w:rPr>
                <w:rFonts w:asciiTheme="majorHAnsi" w:eastAsia="Times New Roman" w:hAnsiTheme="majorHAnsi" w:cs="Calibri"/>
                <w:b/>
                <w:color w:val="000000"/>
                <w:sz w:val="15"/>
                <w:szCs w:val="15"/>
                <w:lang w:eastAsia="cs-CZ"/>
              </w:rPr>
              <w:t> </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BP</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1</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1a</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1b</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2</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3</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4</w:t>
            </w:r>
          </w:p>
        </w:tc>
        <w:tc>
          <w:tcPr>
            <w:tcW w:w="68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FF7D35" w:rsidRPr="00B517FB" w:rsidRDefault="00FF7D35" w:rsidP="009C4FBA">
            <w:pPr>
              <w:keepNext/>
              <w:jc w:val="center"/>
              <w:rPr>
                <w:rFonts w:asciiTheme="majorHAnsi" w:eastAsia="Times New Roman" w:hAnsiTheme="majorHAnsi" w:cs="Calibri"/>
                <w:b/>
                <w:color w:val="000000"/>
                <w:sz w:val="15"/>
                <w:szCs w:val="15"/>
                <w:lang w:eastAsia="cs-CZ"/>
              </w:rPr>
            </w:pPr>
            <w:r w:rsidRPr="00B517FB">
              <w:rPr>
                <w:rFonts w:asciiTheme="majorHAnsi" w:eastAsia="Times New Roman" w:hAnsiTheme="majorHAnsi" w:cs="Calibri"/>
                <w:b/>
                <w:color w:val="000000"/>
                <w:sz w:val="15"/>
                <w:szCs w:val="15"/>
                <w:lang w:eastAsia="cs-CZ"/>
              </w:rPr>
              <w:t>var. 2.2</w:t>
            </w:r>
          </w:p>
        </w:tc>
      </w:tr>
      <w:tr w:rsidR="00FF7D35" w:rsidRPr="003E2438" w:rsidTr="009C4FBA">
        <w:trPr>
          <w:trHeight w:val="300"/>
        </w:trPr>
        <w:tc>
          <w:tcPr>
            <w:tcW w:w="42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270</w:t>
            </w: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Jistebník</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Polanka nad Odrou</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32 600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32 700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32 700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32 700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32 600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31 150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Polanka nad Odrou</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Ostrava-Svinov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32 500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32 600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32 550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32 500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32 700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Ostrava-Svinov</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Ostrava-Mar. Hory</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18 600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21 000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21 100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21 000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20 950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21 000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18 400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21 100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Ostrava-Mar. Hory</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w:t>
            </w:r>
            <w:r w:rsidR="000F38E0">
              <w:rPr>
                <w:rFonts w:asciiTheme="majorHAnsi" w:eastAsia="Times New Roman" w:hAnsiTheme="majorHAnsi" w:cs="Calibri"/>
                <w:color w:val="000000"/>
                <w:sz w:val="15"/>
                <w:szCs w:val="15"/>
                <w:lang w:eastAsia="cs-CZ"/>
              </w:rPr>
              <w:t>hl.n.</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18 600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21 100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21 050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21 000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18 450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21 150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 xml:space="preserve">Ostrava </w:t>
            </w:r>
            <w:r w:rsidR="000F38E0">
              <w:rPr>
                <w:rFonts w:asciiTheme="majorHAnsi" w:eastAsia="Times New Roman" w:hAnsiTheme="majorHAnsi" w:cs="Calibri"/>
                <w:color w:val="000000"/>
                <w:sz w:val="15"/>
                <w:szCs w:val="15"/>
                <w:lang w:eastAsia="cs-CZ"/>
              </w:rPr>
              <w:t>hl.n.</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Ostrava-Hrušov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10 000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11 300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11 000</w:t>
            </w:r>
          </w:p>
        </w:tc>
      </w:tr>
      <w:tr w:rsidR="00FF7D35" w:rsidRPr="003E2438" w:rsidTr="009C4FBA">
        <w:trPr>
          <w:trHeight w:val="300"/>
        </w:trPr>
        <w:tc>
          <w:tcPr>
            <w:tcW w:w="42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323</w:t>
            </w: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 xml:space="preserve">Ostrava </w:t>
            </w:r>
            <w:r w:rsidR="000F38E0">
              <w:rPr>
                <w:rFonts w:asciiTheme="majorHAnsi" w:eastAsia="Times New Roman" w:hAnsiTheme="majorHAnsi" w:cs="Calibri"/>
                <w:color w:val="000000"/>
                <w:sz w:val="15"/>
                <w:szCs w:val="15"/>
                <w:lang w:eastAsia="cs-CZ"/>
              </w:rPr>
              <w:t>hl.n.</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Ostrava-Kunčice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10 850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11 200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11 100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9 800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11 050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Ostrava-Kunčice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Vratimov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7 650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8 450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8 150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7 650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8 000</w:t>
            </w:r>
          </w:p>
        </w:tc>
      </w:tr>
      <w:tr w:rsidR="00FF7D35" w:rsidRPr="003E2438" w:rsidTr="009C4FBA">
        <w:trPr>
          <w:trHeight w:val="300"/>
        </w:trPr>
        <w:tc>
          <w:tcPr>
            <w:tcW w:w="42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FF7D35" w:rsidRPr="003E2438" w:rsidRDefault="00FF7D35" w:rsidP="009C4FBA">
            <w:pPr>
              <w:keepNext/>
              <w:jc w:val="cente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trať 321</w:t>
            </w: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Ostrava-Třebovice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Ostrava-Svinov</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9 450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9 300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9 350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9 350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9 650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Ostrava-Svinov</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Ostrava-Vítkovice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5 200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5 050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5 100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5 050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6 400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4 650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keepNext/>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Ostrava-Vítkovice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Ostrava-Kunčice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keepNext/>
              <w:jc w:val="right"/>
              <w:rPr>
                <w:rFonts w:asciiTheme="majorHAnsi" w:eastAsia="Times New Roman" w:hAnsiTheme="majorHAnsi" w:cs="Calibri"/>
                <w:color w:val="000000"/>
                <w:sz w:val="15"/>
                <w:szCs w:val="15"/>
                <w:lang w:eastAsia="cs-CZ"/>
              </w:rPr>
            </w:pPr>
            <w:r>
              <w:rPr>
                <w:rFonts w:asciiTheme="majorHAnsi" w:eastAsia="Times New Roman" w:hAnsiTheme="majorHAnsi" w:cs="Calibri"/>
                <w:color w:val="000000"/>
                <w:sz w:val="15"/>
                <w:szCs w:val="15"/>
                <w:lang w:eastAsia="cs-CZ"/>
              </w:rPr>
              <w:t>5</w:t>
            </w:r>
            <w:r w:rsidRPr="00B517FB">
              <w:rPr>
                <w:rFonts w:asciiTheme="majorHAnsi" w:eastAsia="Times New Roman" w:hAnsiTheme="majorHAnsi" w:cs="Calibri"/>
                <w:color w:val="000000"/>
                <w:sz w:val="15"/>
                <w:szCs w:val="15"/>
                <w:lang w:eastAsia="cs-CZ"/>
              </w:rPr>
              <w:t xml:space="preserve"> 850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5 450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5 350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Pr>
                <w:rFonts w:asciiTheme="majorHAnsi" w:eastAsia="Times New Roman" w:hAnsiTheme="majorHAnsi" w:cs="Calibri"/>
                <w:color w:val="000000"/>
                <w:sz w:val="15"/>
                <w:szCs w:val="15"/>
                <w:lang w:eastAsia="cs-CZ"/>
              </w:rPr>
              <w:t>5</w:t>
            </w:r>
            <w:r w:rsidRPr="00BC7A65">
              <w:rPr>
                <w:rFonts w:asciiTheme="majorHAnsi" w:eastAsia="Times New Roman" w:hAnsiTheme="majorHAnsi" w:cs="Calibri"/>
                <w:color w:val="000000"/>
                <w:sz w:val="15"/>
                <w:szCs w:val="15"/>
                <w:lang w:eastAsia="cs-CZ"/>
              </w:rPr>
              <w:t xml:space="preserve"> </w:t>
            </w:r>
            <w:r>
              <w:rPr>
                <w:rFonts w:asciiTheme="majorHAnsi" w:eastAsia="Times New Roman" w:hAnsiTheme="majorHAnsi" w:cs="Calibri"/>
                <w:color w:val="000000"/>
                <w:sz w:val="15"/>
                <w:szCs w:val="15"/>
                <w:lang w:eastAsia="cs-CZ"/>
              </w:rPr>
              <w:t>50</w:t>
            </w:r>
            <w:r w:rsidRPr="00BC7A65">
              <w:rPr>
                <w:rFonts w:asciiTheme="majorHAnsi" w:eastAsia="Times New Roman" w:hAnsiTheme="majorHAnsi" w:cs="Calibri"/>
                <w:color w:val="000000"/>
                <w:sz w:val="15"/>
                <w:szCs w:val="15"/>
                <w:lang w:eastAsia="cs-CZ"/>
              </w:rPr>
              <w:t>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5 450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keepNext/>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6 250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keepNext/>
              <w:jc w:val="center"/>
              <w:rPr>
                <w:rFonts w:asciiTheme="majorHAnsi" w:eastAsia="Times New Roman" w:hAnsiTheme="majorHAnsi" w:cs="Calibri"/>
                <w:color w:val="000000"/>
                <w:sz w:val="15"/>
                <w:szCs w:val="15"/>
                <w:lang w:eastAsia="cs-CZ"/>
              </w:rPr>
            </w:pPr>
            <w:r>
              <w:rPr>
                <w:rFonts w:asciiTheme="majorHAnsi" w:eastAsia="Times New Roman" w:hAnsiTheme="majorHAnsi" w:cs="Calibri"/>
                <w:color w:val="000000"/>
                <w:sz w:val="15"/>
                <w:szCs w:val="15"/>
                <w:lang w:eastAsia="cs-CZ"/>
              </w:rPr>
              <w:t>5</w:t>
            </w:r>
            <w:r w:rsidRPr="00BC7A65">
              <w:rPr>
                <w:rFonts w:asciiTheme="majorHAnsi" w:eastAsia="Times New Roman" w:hAnsiTheme="majorHAnsi" w:cs="Calibri"/>
                <w:color w:val="000000"/>
                <w:sz w:val="15"/>
                <w:szCs w:val="15"/>
                <w:lang w:eastAsia="cs-CZ"/>
              </w:rPr>
              <w:t xml:space="preserve"> </w:t>
            </w:r>
            <w:r>
              <w:rPr>
                <w:rFonts w:asciiTheme="majorHAnsi" w:eastAsia="Times New Roman" w:hAnsiTheme="majorHAnsi" w:cs="Calibri"/>
                <w:color w:val="000000"/>
                <w:sz w:val="15"/>
                <w:szCs w:val="15"/>
                <w:lang w:eastAsia="cs-CZ"/>
              </w:rPr>
              <w:t>35</w:t>
            </w:r>
            <w:r w:rsidRPr="00BC7A65">
              <w:rPr>
                <w:rFonts w:asciiTheme="majorHAnsi" w:eastAsia="Times New Roman" w:hAnsiTheme="majorHAnsi" w:cs="Calibri"/>
                <w:color w:val="000000"/>
                <w:sz w:val="15"/>
                <w:szCs w:val="15"/>
                <w:lang w:eastAsia="cs-CZ"/>
              </w:rPr>
              <w:t>0</w:t>
            </w:r>
          </w:p>
        </w:tc>
      </w:tr>
      <w:tr w:rsidR="00FF7D35" w:rsidRPr="003E2438" w:rsidTr="009C4FBA">
        <w:trPr>
          <w:trHeight w:val="300"/>
        </w:trPr>
        <w:tc>
          <w:tcPr>
            <w:tcW w:w="4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p>
        </w:tc>
        <w:tc>
          <w:tcPr>
            <w:tcW w:w="21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7D35" w:rsidRPr="003E2438" w:rsidRDefault="00FF7D35" w:rsidP="009C4FBA">
            <w:pPr>
              <w:rPr>
                <w:rFonts w:asciiTheme="majorHAnsi" w:eastAsia="Times New Roman" w:hAnsiTheme="majorHAnsi" w:cs="Calibri"/>
                <w:color w:val="000000"/>
                <w:sz w:val="15"/>
                <w:szCs w:val="15"/>
                <w:lang w:eastAsia="cs-CZ"/>
              </w:rPr>
            </w:pPr>
            <w:r w:rsidRPr="003E2438">
              <w:rPr>
                <w:rFonts w:asciiTheme="majorHAnsi" w:eastAsia="Times New Roman" w:hAnsiTheme="majorHAnsi" w:cs="Calibri"/>
                <w:color w:val="000000"/>
                <w:sz w:val="15"/>
                <w:szCs w:val="15"/>
                <w:lang w:eastAsia="cs-CZ"/>
              </w:rPr>
              <w:t>Ostrava-Kunčice</w:t>
            </w:r>
            <w:r>
              <w:rPr>
                <w:rFonts w:asciiTheme="majorHAnsi" w:eastAsia="Times New Roman" w:hAnsiTheme="majorHAnsi" w:cs="Calibri"/>
                <w:color w:val="000000"/>
                <w:sz w:val="15"/>
                <w:szCs w:val="15"/>
                <w:lang w:eastAsia="cs-CZ"/>
              </w:rPr>
              <w:t xml:space="preserve"> – </w:t>
            </w:r>
            <w:r w:rsidRPr="003E2438">
              <w:rPr>
                <w:rFonts w:asciiTheme="majorHAnsi" w:eastAsia="Times New Roman" w:hAnsiTheme="majorHAnsi" w:cs="Calibri"/>
                <w:color w:val="000000"/>
                <w:sz w:val="15"/>
                <w:szCs w:val="15"/>
                <w:lang w:eastAsia="cs-CZ"/>
              </w:rPr>
              <w:t>Ostrava-Bartovice</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517FB" w:rsidRDefault="00FF7D35" w:rsidP="009C4FBA">
            <w:pPr>
              <w:jc w:val="right"/>
              <w:rPr>
                <w:rFonts w:asciiTheme="majorHAnsi" w:eastAsia="Times New Roman" w:hAnsiTheme="majorHAnsi" w:cs="Calibri"/>
                <w:color w:val="000000"/>
                <w:sz w:val="15"/>
                <w:szCs w:val="15"/>
                <w:lang w:eastAsia="cs-CZ"/>
              </w:rPr>
            </w:pPr>
            <w:r w:rsidRPr="00B517FB">
              <w:rPr>
                <w:rFonts w:asciiTheme="majorHAnsi" w:eastAsia="Times New Roman" w:hAnsiTheme="majorHAnsi" w:cs="Calibri"/>
                <w:color w:val="000000"/>
                <w:sz w:val="15"/>
                <w:szCs w:val="15"/>
                <w:lang w:eastAsia="cs-CZ"/>
              </w:rPr>
              <w:t>9 600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9 050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356A2B" w:rsidRDefault="00FF7D35" w:rsidP="009C4FBA">
            <w:pPr>
              <w:jc w:val="center"/>
              <w:rPr>
                <w:sz w:val="15"/>
                <w:szCs w:val="15"/>
              </w:rPr>
            </w:pPr>
            <w:r w:rsidRPr="00356A2B">
              <w:rPr>
                <w:sz w:val="15"/>
                <w:szCs w:val="15"/>
              </w:rPr>
              <w:t>9 050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9 050</w:t>
            </w:r>
          </w:p>
        </w:tc>
        <w:tc>
          <w:tcPr>
            <w:tcW w:w="680" w:type="dxa"/>
            <w:tcBorders>
              <w:top w:val="nil"/>
              <w:left w:val="nil"/>
              <w:bottom w:val="single" w:sz="4" w:space="0" w:color="auto"/>
              <w:right w:val="single" w:sz="4" w:space="0" w:color="auto"/>
            </w:tcBorders>
            <w:shd w:val="clear" w:color="auto" w:fill="auto"/>
            <w:noWrap/>
            <w:vAlign w:val="center"/>
            <w:hideMark/>
          </w:tcPr>
          <w:p w:rsidR="00FF7D35" w:rsidRPr="00BC7A65" w:rsidRDefault="00FF7D35" w:rsidP="009C4FBA">
            <w:pPr>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8 900</w:t>
            </w:r>
          </w:p>
        </w:tc>
        <w:tc>
          <w:tcPr>
            <w:tcW w:w="680" w:type="dxa"/>
            <w:tcBorders>
              <w:top w:val="nil"/>
              <w:left w:val="nil"/>
              <w:bottom w:val="single" w:sz="4" w:space="0" w:color="auto"/>
              <w:right w:val="single" w:sz="4" w:space="0" w:color="auto"/>
            </w:tcBorders>
            <w:vAlign w:val="center"/>
          </w:tcPr>
          <w:p w:rsidR="00FF7D35" w:rsidRPr="00BC7A65" w:rsidRDefault="00FF7D35" w:rsidP="009C4FBA">
            <w:pPr>
              <w:jc w:val="center"/>
              <w:rPr>
                <w:rFonts w:asciiTheme="majorHAnsi" w:eastAsia="Times New Roman" w:hAnsiTheme="majorHAnsi" w:cs="Calibri"/>
                <w:color w:val="000000"/>
                <w:sz w:val="15"/>
                <w:szCs w:val="15"/>
                <w:lang w:eastAsia="cs-CZ"/>
              </w:rPr>
            </w:pPr>
            <w:r w:rsidRPr="00BC7A65">
              <w:rPr>
                <w:rFonts w:asciiTheme="majorHAnsi" w:eastAsia="Times New Roman" w:hAnsiTheme="majorHAnsi" w:cs="Calibri"/>
                <w:color w:val="000000"/>
                <w:sz w:val="15"/>
                <w:szCs w:val="15"/>
                <w:lang w:eastAsia="cs-CZ"/>
              </w:rPr>
              <w:t>8 950</w:t>
            </w:r>
          </w:p>
        </w:tc>
      </w:tr>
    </w:tbl>
    <w:p w:rsidR="00FF7D35" w:rsidRDefault="00FF7D35" w:rsidP="0033475A">
      <w:pPr>
        <w:pStyle w:val="Nadpis2"/>
      </w:pPr>
      <w:bookmarkStart w:id="34" w:name="_Toc413157871"/>
      <w:bookmarkStart w:id="35" w:name="_Toc448407576"/>
      <w:bookmarkStart w:id="36" w:name="_Toc40186588"/>
      <w:r>
        <w:t>Nákladní doprava</w:t>
      </w:r>
      <w:bookmarkEnd w:id="34"/>
      <w:bookmarkEnd w:id="35"/>
      <w:bookmarkEnd w:id="36"/>
    </w:p>
    <w:p w:rsidR="00FF7D35" w:rsidRPr="00A67C72" w:rsidRDefault="00FF7D35" w:rsidP="00FF7D35">
      <w:r w:rsidRPr="00A67C72">
        <w:t>Byť bylo průměrné ložení nákladního vlaku stanoveno z předchozích let, byl posouzen potenciální výhledový vývoj uvedeného parametru v reakci na prognózovaný vývoj průmyslu v předmětné oblasti s klesajícím trendem produkovaného přepravního výkonu, avšak na druhé straně je výhledově výrazně pokles průmyslu kompenzován stabilními výkony tranzitní a případně místní kombinované přepravy.</w:t>
      </w:r>
    </w:p>
    <w:p w:rsidR="0033475A" w:rsidRDefault="0033475A" w:rsidP="0033475A">
      <w:pPr>
        <w:pStyle w:val="Titulek"/>
        <w:keepNext/>
      </w:pPr>
      <w:r>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5</w:t>
      </w:r>
      <w:r w:rsidR="00115166">
        <w:rPr>
          <w:noProof/>
        </w:rPr>
        <w:fldChar w:fldCharType="end"/>
      </w:r>
      <w:r>
        <w:t xml:space="preserve"> </w:t>
      </w:r>
      <w:r w:rsidRPr="00D54B7A">
        <w:t>Objemy tun a počty nákladních vlaků na úsecích – rok 2014 a 2021- varianty projektové</w:t>
      </w:r>
    </w:p>
    <w:tbl>
      <w:tblPr>
        <w:tblW w:w="7953" w:type="dxa"/>
        <w:tblInd w:w="55" w:type="dxa"/>
        <w:tblLayout w:type="fixed"/>
        <w:tblCellMar>
          <w:left w:w="70" w:type="dxa"/>
          <w:right w:w="70" w:type="dxa"/>
        </w:tblCellMar>
        <w:tblLook w:val="04A0" w:firstRow="1" w:lastRow="0" w:firstColumn="1" w:lastColumn="0" w:noHBand="0" w:noVBand="1"/>
      </w:tblPr>
      <w:tblGrid>
        <w:gridCol w:w="536"/>
        <w:gridCol w:w="1606"/>
        <w:gridCol w:w="708"/>
        <w:gridCol w:w="567"/>
        <w:gridCol w:w="567"/>
        <w:gridCol w:w="567"/>
        <w:gridCol w:w="567"/>
        <w:gridCol w:w="567"/>
        <w:gridCol w:w="567"/>
        <w:gridCol w:w="567"/>
        <w:gridCol w:w="567"/>
        <w:gridCol w:w="567"/>
      </w:tblGrid>
      <w:tr w:rsidR="00FF7D35" w:rsidRPr="002677A8" w:rsidTr="009C4FBA">
        <w:trPr>
          <w:trHeight w:val="300"/>
        </w:trPr>
        <w:tc>
          <w:tcPr>
            <w:tcW w:w="2142"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b/>
                <w:bCs/>
                <w:color w:val="FF0000"/>
                <w:sz w:val="14"/>
                <w:szCs w:val="14"/>
                <w:lang w:eastAsia="cs-CZ"/>
              </w:rPr>
              <w:t> </w:t>
            </w:r>
            <w:r w:rsidRPr="002677A8">
              <w:rPr>
                <w:rFonts w:asciiTheme="majorHAnsi" w:eastAsia="Times New Roman" w:hAnsiTheme="majorHAnsi" w:cs="Calibri"/>
                <w:color w:val="000000"/>
                <w:sz w:val="14"/>
                <w:szCs w:val="14"/>
                <w:lang w:eastAsia="cs-CZ"/>
              </w:rPr>
              <w:t> </w:t>
            </w:r>
          </w:p>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w:t>
            </w:r>
          </w:p>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w:t>
            </w:r>
          </w:p>
        </w:tc>
        <w:tc>
          <w:tcPr>
            <w:tcW w:w="2976" w:type="dxa"/>
            <w:gridSpan w:val="5"/>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2014</w:t>
            </w:r>
          </w:p>
        </w:tc>
        <w:tc>
          <w:tcPr>
            <w:tcW w:w="2835" w:type="dxa"/>
            <w:gridSpan w:val="5"/>
            <w:tcBorders>
              <w:top w:val="single" w:sz="4" w:space="0" w:color="auto"/>
              <w:left w:val="single" w:sz="8" w:space="0" w:color="auto"/>
              <w:bottom w:val="single" w:sz="4" w:space="0" w:color="auto"/>
              <w:right w:val="single" w:sz="4" w:space="0" w:color="000000"/>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2021</w:t>
            </w:r>
          </w:p>
        </w:tc>
      </w:tr>
      <w:tr w:rsidR="00FF7D35" w:rsidRPr="002677A8" w:rsidTr="009C4FBA">
        <w:trPr>
          <w:trHeight w:val="300"/>
        </w:trPr>
        <w:tc>
          <w:tcPr>
            <w:tcW w:w="2142"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p>
        </w:tc>
        <w:tc>
          <w:tcPr>
            <w:tcW w:w="708" w:type="dxa"/>
            <w:tcBorders>
              <w:top w:val="nil"/>
              <w:left w:val="single" w:sz="4" w:space="0" w:color="auto"/>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 vlak</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denní Ø</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koef. -&gt;</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max var.</w:t>
            </w:r>
          </w:p>
        </w:tc>
        <w:tc>
          <w:tcPr>
            <w:tcW w:w="567" w:type="dxa"/>
            <w:tcBorders>
              <w:top w:val="nil"/>
              <w:left w:val="single" w:sz="8" w:space="0" w:color="auto"/>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 vlak</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denní Ø</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koef. -&gt;</w:t>
            </w:r>
          </w:p>
        </w:tc>
        <w:tc>
          <w:tcPr>
            <w:tcW w:w="567"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max var.</w:t>
            </w:r>
          </w:p>
        </w:tc>
      </w:tr>
      <w:tr w:rsidR="00FF7D35" w:rsidRPr="002677A8" w:rsidTr="009C4FBA">
        <w:trPr>
          <w:trHeight w:val="300"/>
        </w:trPr>
        <w:tc>
          <w:tcPr>
            <w:tcW w:w="53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FF7D35" w:rsidRPr="002677A8" w:rsidRDefault="00FF7D35" w:rsidP="009C4FBA">
            <w:pPr>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270</w:t>
            </w: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Jistebník</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Polanka nad Odrou</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34 700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119</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38 500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131</w:t>
            </w:r>
          </w:p>
        </w:tc>
      </w:tr>
      <w:tr w:rsidR="00FF7D35" w:rsidRPr="002677A8" w:rsidTr="009C4FBA">
        <w:trPr>
          <w:trHeight w:val="300"/>
        </w:trPr>
        <w:tc>
          <w:tcPr>
            <w:tcW w:w="53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Polanka nad Odrou</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Ostrava-Svinov</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28 550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58</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99</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32 300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65</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111</w:t>
            </w:r>
          </w:p>
        </w:tc>
      </w:tr>
      <w:tr w:rsidR="00FF7D35" w:rsidRPr="002677A8" w:rsidTr="009C4FBA">
        <w:trPr>
          <w:trHeight w:val="300"/>
        </w:trPr>
        <w:tc>
          <w:tcPr>
            <w:tcW w:w="53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Ostrava-Svinov</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Ostrava-Mar. Hory</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28 550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58</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99</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31 900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109</w:t>
            </w:r>
          </w:p>
        </w:tc>
      </w:tr>
      <w:tr w:rsidR="00FF7D35" w:rsidRPr="002677A8" w:rsidTr="009C4FBA">
        <w:trPr>
          <w:trHeight w:val="300"/>
        </w:trPr>
        <w:tc>
          <w:tcPr>
            <w:tcW w:w="53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Ostrava-Mar. Hory</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w:t>
            </w:r>
            <w:r w:rsidR="000F38E0">
              <w:rPr>
                <w:rFonts w:asciiTheme="majorHAnsi" w:eastAsia="Times New Roman" w:hAnsiTheme="majorHAnsi" w:cs="Calibri"/>
                <w:color w:val="000000"/>
                <w:sz w:val="14"/>
                <w:szCs w:val="14"/>
                <w:lang w:eastAsia="cs-CZ"/>
              </w:rPr>
              <w:t>hl.n.</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28 100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97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31 500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63</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107</w:t>
            </w:r>
          </w:p>
        </w:tc>
      </w:tr>
      <w:tr w:rsidR="00FF7D35" w:rsidRPr="002677A8" w:rsidTr="009C4FBA">
        <w:trPr>
          <w:trHeight w:val="300"/>
        </w:trPr>
        <w:tc>
          <w:tcPr>
            <w:tcW w:w="53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xml:space="preserve">Ostrava </w:t>
            </w:r>
            <w:r w:rsidR="000F38E0">
              <w:rPr>
                <w:rFonts w:asciiTheme="majorHAnsi" w:eastAsia="Times New Roman" w:hAnsiTheme="majorHAnsi" w:cs="Calibri"/>
                <w:color w:val="000000"/>
                <w:sz w:val="14"/>
                <w:szCs w:val="14"/>
                <w:lang w:eastAsia="cs-CZ"/>
              </w:rPr>
              <w:t>hl.n.</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Ostrava-Hrušov</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26 550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92</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29 200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59</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100</w:t>
            </w:r>
          </w:p>
        </w:tc>
      </w:tr>
      <w:tr w:rsidR="00FF7D35" w:rsidRPr="002677A8" w:rsidTr="009C4FBA">
        <w:trPr>
          <w:trHeight w:val="300"/>
        </w:trPr>
        <w:tc>
          <w:tcPr>
            <w:tcW w:w="53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FF7D35" w:rsidRPr="002677A8" w:rsidRDefault="00FF7D35" w:rsidP="009C4FBA">
            <w:pPr>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323</w:t>
            </w: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xml:space="preserve">Ostrava </w:t>
            </w:r>
            <w:r w:rsidR="000F38E0">
              <w:rPr>
                <w:rFonts w:asciiTheme="majorHAnsi" w:eastAsia="Times New Roman" w:hAnsiTheme="majorHAnsi" w:cs="Calibri"/>
                <w:color w:val="000000"/>
                <w:sz w:val="14"/>
                <w:szCs w:val="14"/>
                <w:lang w:eastAsia="cs-CZ"/>
              </w:rPr>
              <w:t>hl.n.</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Ostrava-Kunčice</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8 000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7 450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15</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26</w:t>
            </w:r>
          </w:p>
        </w:tc>
      </w:tr>
      <w:tr w:rsidR="00FF7D35" w:rsidRPr="002677A8" w:rsidTr="009C4FBA">
        <w:trPr>
          <w:trHeight w:val="300"/>
        </w:trPr>
        <w:tc>
          <w:tcPr>
            <w:tcW w:w="53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Ostrava-Kunčice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Vratimov</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sz w:val="14"/>
                <w:szCs w:val="14"/>
              </w:rPr>
            </w:pPr>
            <w:r w:rsidRPr="00B27995">
              <w:rPr>
                <w:rFonts w:asciiTheme="majorHAnsi" w:hAnsiTheme="majorHAnsi" w:cs="Calibri"/>
                <w:sz w:val="14"/>
                <w:szCs w:val="14"/>
              </w:rPr>
              <w:t>7 600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sz w:val="14"/>
                <w:szCs w:val="14"/>
              </w:rPr>
            </w:pPr>
            <w:r w:rsidRPr="00B27995">
              <w:rPr>
                <w:rFonts w:asciiTheme="majorHAnsi" w:hAnsiTheme="majorHAnsi" w:cs="Calibri"/>
                <w:sz w:val="14"/>
                <w:szCs w:val="14"/>
              </w:rPr>
              <w:t>6 400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r>
      <w:tr w:rsidR="00FF7D35" w:rsidRPr="002677A8" w:rsidTr="009C4FBA">
        <w:trPr>
          <w:trHeight w:val="300"/>
        </w:trPr>
        <w:tc>
          <w:tcPr>
            <w:tcW w:w="536"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FF7D35" w:rsidRPr="002677A8" w:rsidRDefault="00FF7D35" w:rsidP="009C4FBA">
            <w:pPr>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321</w:t>
            </w: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Ostrava-Třebovice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Ostrava-Svinov</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1 950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1 950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r>
      <w:tr w:rsidR="00FF7D35" w:rsidRPr="002677A8" w:rsidTr="009C4FBA">
        <w:trPr>
          <w:trHeight w:val="300"/>
        </w:trPr>
        <w:tc>
          <w:tcPr>
            <w:tcW w:w="53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Ostrava-Svinov</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odb. Odra</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1 700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1 600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r>
      <w:tr w:rsidR="00FF7D35" w:rsidRPr="002677A8" w:rsidTr="009C4FBA">
        <w:trPr>
          <w:trHeight w:val="300"/>
        </w:trPr>
        <w:tc>
          <w:tcPr>
            <w:tcW w:w="53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odb. Odra</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Ostrava-Vítkovice</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7 850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7 800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r>
      <w:tr w:rsidR="00FF7D35" w:rsidRPr="002677A8" w:rsidTr="009C4FBA">
        <w:trPr>
          <w:trHeight w:val="300"/>
        </w:trPr>
        <w:tc>
          <w:tcPr>
            <w:tcW w:w="53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Ostrava-Vítkovice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Ostrava-Kunčice</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7 850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7 800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r>
      <w:tr w:rsidR="00FF7D35" w:rsidRPr="002677A8" w:rsidTr="009C4FBA">
        <w:trPr>
          <w:trHeight w:val="300"/>
        </w:trPr>
        <w:tc>
          <w:tcPr>
            <w:tcW w:w="53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Ostrava-Kunčice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Ostrava-Bartovice</w:t>
            </w:r>
          </w:p>
        </w:tc>
        <w:tc>
          <w:tcPr>
            <w:tcW w:w="708"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sz w:val="14"/>
                <w:szCs w:val="14"/>
              </w:rPr>
            </w:pPr>
            <w:r w:rsidRPr="00B27995">
              <w:rPr>
                <w:rFonts w:asciiTheme="majorHAnsi" w:hAnsiTheme="majorHAnsi" w:cs="Calibri"/>
                <w:sz w:val="14"/>
                <w:szCs w:val="14"/>
              </w:rPr>
              <w:t>12 200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25</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43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sz w:val="14"/>
                <w:szCs w:val="14"/>
              </w:rPr>
            </w:pPr>
            <w:r w:rsidRPr="00B27995">
              <w:rPr>
                <w:rFonts w:asciiTheme="majorHAnsi" w:hAnsiTheme="majorHAnsi" w:cs="Calibri"/>
                <w:sz w:val="14"/>
                <w:szCs w:val="14"/>
              </w:rPr>
              <w:t>11 650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24</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41</w:t>
            </w:r>
          </w:p>
        </w:tc>
      </w:tr>
      <w:tr w:rsidR="00FF7D35" w:rsidRPr="002677A8" w:rsidTr="009C4FBA">
        <w:trPr>
          <w:trHeight w:val="315"/>
        </w:trPr>
        <w:tc>
          <w:tcPr>
            <w:tcW w:w="53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06"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Polanka nad Odrou</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odb. Odra</w:t>
            </w:r>
          </w:p>
        </w:tc>
        <w:tc>
          <w:tcPr>
            <w:tcW w:w="708" w:type="dxa"/>
            <w:tcBorders>
              <w:top w:val="nil"/>
              <w:left w:val="single" w:sz="8" w:space="0" w:color="auto"/>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6 150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c>
          <w:tcPr>
            <w:tcW w:w="567" w:type="dxa"/>
            <w:tcBorders>
              <w:top w:val="nil"/>
              <w:left w:val="single" w:sz="8" w:space="0" w:color="auto"/>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6 200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r>
    </w:tbl>
    <w:p w:rsidR="0033475A" w:rsidRDefault="0033475A" w:rsidP="0033475A">
      <w:pPr>
        <w:pStyle w:val="Titulek"/>
        <w:keepNext/>
      </w:pPr>
      <w:r>
        <w:lastRenderedPageBreak/>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6</w:t>
      </w:r>
      <w:r w:rsidR="00115166">
        <w:rPr>
          <w:noProof/>
        </w:rPr>
        <w:fldChar w:fldCharType="end"/>
      </w:r>
      <w:r>
        <w:t xml:space="preserve"> </w:t>
      </w:r>
      <w:r w:rsidRPr="006E6957">
        <w:t>Objemy tun a počty nákladních vlaků na úsecích – rok 2025 a 2055 – varianty projektové</w:t>
      </w:r>
    </w:p>
    <w:tbl>
      <w:tblPr>
        <w:tblW w:w="7938" w:type="dxa"/>
        <w:tblInd w:w="70" w:type="dxa"/>
        <w:tblLayout w:type="fixed"/>
        <w:tblCellMar>
          <w:left w:w="70" w:type="dxa"/>
          <w:right w:w="70" w:type="dxa"/>
        </w:tblCellMar>
        <w:tblLook w:val="04A0" w:firstRow="1" w:lastRow="0" w:firstColumn="1" w:lastColumn="0" w:noHBand="0" w:noVBand="1"/>
      </w:tblPr>
      <w:tblGrid>
        <w:gridCol w:w="496"/>
        <w:gridCol w:w="1677"/>
        <w:gridCol w:w="680"/>
        <w:gridCol w:w="545"/>
        <w:gridCol w:w="545"/>
        <w:gridCol w:w="545"/>
        <w:gridCol w:w="545"/>
        <w:gridCol w:w="669"/>
        <w:gridCol w:w="559"/>
        <w:gridCol w:w="559"/>
        <w:gridCol w:w="559"/>
        <w:gridCol w:w="559"/>
      </w:tblGrid>
      <w:tr w:rsidR="00FF7D35" w:rsidRPr="002677A8" w:rsidTr="009C4FBA">
        <w:trPr>
          <w:trHeight w:val="300"/>
        </w:trPr>
        <w:tc>
          <w:tcPr>
            <w:tcW w:w="2173" w:type="dxa"/>
            <w:gridSpan w:val="2"/>
            <w:vMerge w:val="restar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w:t>
            </w:r>
          </w:p>
        </w:tc>
        <w:tc>
          <w:tcPr>
            <w:tcW w:w="2860" w:type="dxa"/>
            <w:gridSpan w:val="5"/>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2025</w:t>
            </w:r>
          </w:p>
        </w:tc>
        <w:tc>
          <w:tcPr>
            <w:tcW w:w="2905" w:type="dxa"/>
            <w:gridSpan w:val="5"/>
            <w:tcBorders>
              <w:top w:val="single" w:sz="4" w:space="0" w:color="auto"/>
              <w:left w:val="nil"/>
              <w:bottom w:val="single" w:sz="4" w:space="0" w:color="auto"/>
              <w:right w:val="single" w:sz="8" w:space="0" w:color="000000"/>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2055</w:t>
            </w:r>
          </w:p>
        </w:tc>
      </w:tr>
      <w:tr w:rsidR="00FF7D35" w:rsidRPr="002677A8" w:rsidTr="009C4FBA">
        <w:trPr>
          <w:trHeight w:val="300"/>
        </w:trPr>
        <w:tc>
          <w:tcPr>
            <w:tcW w:w="217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p>
        </w:tc>
        <w:tc>
          <w:tcPr>
            <w:tcW w:w="680" w:type="dxa"/>
            <w:tcBorders>
              <w:top w:val="nil"/>
              <w:left w:val="single" w:sz="4" w:space="0" w:color="auto"/>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p>
        </w:tc>
        <w:tc>
          <w:tcPr>
            <w:tcW w:w="545"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r>
              <w:rPr>
                <w:rFonts w:asciiTheme="majorHAnsi" w:eastAsia="Times New Roman" w:hAnsiTheme="majorHAnsi" w:cs="Calibri"/>
                <w:color w:val="000000"/>
                <w:sz w:val="14"/>
                <w:szCs w:val="14"/>
                <w:lang w:eastAsia="cs-CZ"/>
              </w:rPr>
              <w:t xml:space="preserve"> </w:t>
            </w:r>
            <w:r w:rsidRPr="002677A8">
              <w:rPr>
                <w:rFonts w:asciiTheme="majorHAnsi" w:eastAsia="Times New Roman" w:hAnsiTheme="majorHAnsi" w:cs="Calibri"/>
                <w:color w:val="000000"/>
                <w:sz w:val="14"/>
                <w:szCs w:val="14"/>
                <w:lang w:eastAsia="cs-CZ"/>
              </w:rPr>
              <w:t>vlak</w:t>
            </w:r>
          </w:p>
        </w:tc>
        <w:tc>
          <w:tcPr>
            <w:tcW w:w="545"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denní Ø</w:t>
            </w:r>
          </w:p>
        </w:tc>
        <w:tc>
          <w:tcPr>
            <w:tcW w:w="545"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koef. -&gt;</w:t>
            </w:r>
          </w:p>
        </w:tc>
        <w:tc>
          <w:tcPr>
            <w:tcW w:w="545"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max var.</w:t>
            </w:r>
          </w:p>
        </w:tc>
        <w:tc>
          <w:tcPr>
            <w:tcW w:w="669"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p>
        </w:tc>
        <w:tc>
          <w:tcPr>
            <w:tcW w:w="559"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čt/</w:t>
            </w:r>
            <w:r>
              <w:rPr>
                <w:rFonts w:asciiTheme="majorHAnsi" w:eastAsia="Times New Roman" w:hAnsiTheme="majorHAnsi" w:cs="Calibri"/>
                <w:color w:val="000000"/>
                <w:sz w:val="14"/>
                <w:szCs w:val="14"/>
                <w:lang w:eastAsia="cs-CZ"/>
              </w:rPr>
              <w:t xml:space="preserve"> </w:t>
            </w:r>
            <w:r w:rsidRPr="002677A8">
              <w:rPr>
                <w:rFonts w:asciiTheme="majorHAnsi" w:eastAsia="Times New Roman" w:hAnsiTheme="majorHAnsi" w:cs="Calibri"/>
                <w:color w:val="000000"/>
                <w:sz w:val="14"/>
                <w:szCs w:val="14"/>
                <w:lang w:eastAsia="cs-CZ"/>
              </w:rPr>
              <w:t>vlak</w:t>
            </w:r>
          </w:p>
        </w:tc>
        <w:tc>
          <w:tcPr>
            <w:tcW w:w="559"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denní Ø</w:t>
            </w:r>
          </w:p>
        </w:tc>
        <w:tc>
          <w:tcPr>
            <w:tcW w:w="559" w:type="dxa"/>
            <w:tcBorders>
              <w:top w:val="nil"/>
              <w:left w:val="nil"/>
              <w:bottom w:val="single" w:sz="4" w:space="0" w:color="auto"/>
              <w:right w:val="single" w:sz="4"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koef. -&gt;</w:t>
            </w:r>
          </w:p>
        </w:tc>
        <w:tc>
          <w:tcPr>
            <w:tcW w:w="559" w:type="dxa"/>
            <w:tcBorders>
              <w:top w:val="nil"/>
              <w:left w:val="nil"/>
              <w:bottom w:val="single" w:sz="4" w:space="0" w:color="auto"/>
              <w:right w:val="single" w:sz="8" w:space="0" w:color="auto"/>
            </w:tcBorders>
            <w:shd w:val="clear" w:color="000000" w:fill="D9D9D9" w:themeFill="background1" w:themeFillShade="D9"/>
            <w:noWrap/>
            <w:vAlign w:val="bottom"/>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max var.</w:t>
            </w:r>
          </w:p>
        </w:tc>
      </w:tr>
      <w:tr w:rsidR="00FF7D35" w:rsidRPr="002677A8" w:rsidTr="009C4FBA">
        <w:trPr>
          <w:trHeight w:val="300"/>
        </w:trPr>
        <w:tc>
          <w:tcPr>
            <w:tcW w:w="49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FF7D35" w:rsidRPr="002677A8" w:rsidRDefault="00FF7D35" w:rsidP="009C4FBA">
            <w:pPr>
              <w:keepNext/>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270</w:t>
            </w: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Jistebník</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Polanka nad Odrou</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47 350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95</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162</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55 750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112</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190</w:t>
            </w:r>
          </w:p>
        </w:tc>
      </w:tr>
      <w:tr w:rsidR="00FF7D35" w:rsidRPr="002677A8" w:rsidTr="009C4FBA">
        <w:trPr>
          <w:trHeight w:val="300"/>
        </w:trPr>
        <w:tc>
          <w:tcPr>
            <w:tcW w:w="49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keepNext/>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Polanka nad Odrou</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Ostrava-Svinov</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41 000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82</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139</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49 250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99</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168</w:t>
            </w:r>
          </w:p>
        </w:tc>
      </w:tr>
      <w:tr w:rsidR="00FF7D35" w:rsidRPr="002677A8" w:rsidTr="009C4FBA">
        <w:trPr>
          <w:trHeight w:val="300"/>
        </w:trPr>
        <w:tc>
          <w:tcPr>
            <w:tcW w:w="49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keepNext/>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Ostrava-Svinov</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Ostrava-Mar. Hory</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39 850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80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136</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47 750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96</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163</w:t>
            </w:r>
          </w:p>
        </w:tc>
      </w:tr>
      <w:tr w:rsidR="00FF7D35" w:rsidRPr="002677A8" w:rsidTr="009C4FBA">
        <w:trPr>
          <w:trHeight w:val="300"/>
        </w:trPr>
        <w:tc>
          <w:tcPr>
            <w:tcW w:w="49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keepNext/>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keepNext/>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Ostrava-Mar. Hory</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w:t>
            </w:r>
            <w:r w:rsidR="000F38E0">
              <w:rPr>
                <w:rFonts w:asciiTheme="majorHAnsi" w:eastAsia="Times New Roman" w:hAnsiTheme="majorHAnsi" w:cs="Calibri"/>
                <w:color w:val="000000"/>
                <w:sz w:val="14"/>
                <w:szCs w:val="14"/>
                <w:lang w:eastAsia="cs-CZ"/>
              </w:rPr>
              <w:t>hl.n.</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39 450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79</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134</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47 400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95</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keepNext/>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162</w:t>
            </w:r>
          </w:p>
        </w:tc>
      </w:tr>
      <w:tr w:rsidR="00FF7D35" w:rsidRPr="002677A8" w:rsidTr="009C4FBA">
        <w:trPr>
          <w:trHeight w:val="300"/>
        </w:trPr>
        <w:tc>
          <w:tcPr>
            <w:tcW w:w="49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xml:space="preserve">Ostrava </w:t>
            </w:r>
            <w:r w:rsidR="000F38E0">
              <w:rPr>
                <w:rFonts w:asciiTheme="majorHAnsi" w:eastAsia="Times New Roman" w:hAnsiTheme="majorHAnsi" w:cs="Calibri"/>
                <w:color w:val="000000"/>
                <w:sz w:val="14"/>
                <w:szCs w:val="14"/>
                <w:lang w:eastAsia="cs-CZ"/>
              </w:rPr>
              <w:t>hl.n.</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Ostrava-Hrušov</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35 300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71</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121</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42 250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85</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145</w:t>
            </w:r>
          </w:p>
        </w:tc>
      </w:tr>
      <w:tr w:rsidR="00FF7D35" w:rsidRPr="002677A8" w:rsidTr="009C4FBA">
        <w:trPr>
          <w:trHeight w:val="300"/>
        </w:trPr>
        <w:tc>
          <w:tcPr>
            <w:tcW w:w="49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FF7D35" w:rsidRPr="002677A8" w:rsidRDefault="00FF7D35" w:rsidP="009C4FBA">
            <w:pPr>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323</w:t>
            </w: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 xml:space="preserve">Ostrava </w:t>
            </w:r>
            <w:r w:rsidR="000F38E0">
              <w:rPr>
                <w:rFonts w:asciiTheme="majorHAnsi" w:eastAsia="Times New Roman" w:hAnsiTheme="majorHAnsi" w:cs="Calibri"/>
                <w:color w:val="000000"/>
                <w:sz w:val="14"/>
                <w:szCs w:val="14"/>
                <w:lang w:eastAsia="cs-CZ"/>
              </w:rPr>
              <w:t>hl.n.</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Ostrava-Kunčice</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6 100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5 150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11</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19</w:t>
            </w:r>
          </w:p>
        </w:tc>
      </w:tr>
      <w:tr w:rsidR="00FF7D35" w:rsidRPr="002677A8" w:rsidTr="009C4FBA">
        <w:trPr>
          <w:trHeight w:val="300"/>
        </w:trPr>
        <w:tc>
          <w:tcPr>
            <w:tcW w:w="49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Ostrava-Kunčice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Vratimov</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3 550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8</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14</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2 600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10</w:t>
            </w:r>
          </w:p>
        </w:tc>
      </w:tr>
      <w:tr w:rsidR="00FF7D35" w:rsidRPr="002677A8" w:rsidTr="009C4FBA">
        <w:trPr>
          <w:trHeight w:val="300"/>
        </w:trPr>
        <w:tc>
          <w:tcPr>
            <w:tcW w:w="496"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FF7D35" w:rsidRPr="002677A8" w:rsidRDefault="00FF7D35" w:rsidP="009C4FBA">
            <w:pPr>
              <w:jc w:val="cente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trať 321</w:t>
            </w: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Ostrava-Třebovice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Ostrava-Svinov</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1 850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1 750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4</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7</w:t>
            </w:r>
          </w:p>
        </w:tc>
      </w:tr>
      <w:tr w:rsidR="00FF7D35" w:rsidRPr="002677A8" w:rsidTr="009C4FBA">
        <w:trPr>
          <w:trHeight w:val="300"/>
        </w:trPr>
        <w:tc>
          <w:tcPr>
            <w:tcW w:w="49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Ostrava-Svinov</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odb. Odra</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1 350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5</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1 100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3</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5</w:t>
            </w:r>
          </w:p>
        </w:tc>
      </w:tr>
      <w:tr w:rsidR="00FF7D35" w:rsidRPr="002677A8" w:rsidTr="009C4FBA">
        <w:trPr>
          <w:trHeight w:val="300"/>
        </w:trPr>
        <w:tc>
          <w:tcPr>
            <w:tcW w:w="49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odb. Odra</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Ostrava-Vítkovice</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7 700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7 600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r>
      <w:tr w:rsidR="00FF7D35" w:rsidRPr="002677A8" w:rsidTr="009C4FBA">
        <w:trPr>
          <w:trHeight w:val="300"/>
        </w:trPr>
        <w:tc>
          <w:tcPr>
            <w:tcW w:w="49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Ostrava-Vítkovice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Ostrava-Kunčice</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7 700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7 600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16</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27</w:t>
            </w:r>
          </w:p>
        </w:tc>
      </w:tr>
      <w:tr w:rsidR="00FF7D35" w:rsidRPr="002677A8" w:rsidTr="009C4FBA">
        <w:trPr>
          <w:trHeight w:val="300"/>
        </w:trPr>
        <w:tc>
          <w:tcPr>
            <w:tcW w:w="49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Ostrava-Kunčice</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Ostrava-Bartovice</w:t>
            </w:r>
          </w:p>
        </w:tc>
        <w:tc>
          <w:tcPr>
            <w:tcW w:w="680"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10 350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21</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36</w:t>
            </w:r>
          </w:p>
        </w:tc>
        <w:tc>
          <w:tcPr>
            <w:tcW w:w="66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8 850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18</w:t>
            </w:r>
          </w:p>
        </w:tc>
        <w:tc>
          <w:tcPr>
            <w:tcW w:w="559" w:type="dxa"/>
            <w:tcBorders>
              <w:top w:val="nil"/>
              <w:left w:val="nil"/>
              <w:bottom w:val="single" w:sz="4"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4"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31</w:t>
            </w:r>
          </w:p>
        </w:tc>
      </w:tr>
      <w:tr w:rsidR="00FF7D35" w:rsidRPr="002677A8" w:rsidTr="009C4FBA">
        <w:trPr>
          <w:trHeight w:val="315"/>
        </w:trPr>
        <w:tc>
          <w:tcPr>
            <w:tcW w:w="496"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FF7D35" w:rsidRPr="002677A8" w:rsidRDefault="00FF7D35" w:rsidP="009C4FBA">
            <w:pPr>
              <w:rPr>
                <w:rFonts w:asciiTheme="majorHAnsi" w:eastAsia="Times New Roman" w:hAnsiTheme="majorHAnsi" w:cs="Calibri"/>
                <w:color w:val="000000"/>
                <w:sz w:val="14"/>
                <w:szCs w:val="14"/>
                <w:lang w:eastAsia="cs-CZ"/>
              </w:rPr>
            </w:pPr>
          </w:p>
        </w:tc>
        <w:tc>
          <w:tcPr>
            <w:tcW w:w="1677" w:type="dxa"/>
            <w:tcBorders>
              <w:top w:val="nil"/>
              <w:left w:val="nil"/>
              <w:bottom w:val="single" w:sz="4" w:space="0" w:color="auto"/>
              <w:right w:val="single" w:sz="4" w:space="0" w:color="auto"/>
            </w:tcBorders>
            <w:shd w:val="clear" w:color="auto" w:fill="D9D9D9" w:themeFill="background1" w:themeFillShade="D9"/>
            <w:noWrap/>
            <w:vAlign w:val="bottom"/>
            <w:hideMark/>
          </w:tcPr>
          <w:p w:rsidR="00FF7D35" w:rsidRPr="002677A8" w:rsidRDefault="00FF7D35" w:rsidP="009C4FBA">
            <w:pPr>
              <w:rPr>
                <w:rFonts w:asciiTheme="majorHAnsi" w:eastAsia="Times New Roman" w:hAnsiTheme="majorHAnsi" w:cs="Calibri"/>
                <w:color w:val="000000"/>
                <w:sz w:val="14"/>
                <w:szCs w:val="14"/>
                <w:lang w:eastAsia="cs-CZ"/>
              </w:rPr>
            </w:pPr>
            <w:r w:rsidRPr="002677A8">
              <w:rPr>
                <w:rFonts w:asciiTheme="majorHAnsi" w:eastAsia="Times New Roman" w:hAnsiTheme="majorHAnsi" w:cs="Calibri"/>
                <w:color w:val="000000"/>
                <w:sz w:val="14"/>
                <w:szCs w:val="14"/>
                <w:lang w:eastAsia="cs-CZ"/>
              </w:rPr>
              <w:t>Polanka nad Odrou</w:t>
            </w:r>
            <w:r>
              <w:rPr>
                <w:rFonts w:asciiTheme="majorHAnsi" w:eastAsia="Times New Roman" w:hAnsiTheme="majorHAnsi" w:cs="Calibri"/>
                <w:color w:val="000000"/>
                <w:sz w:val="14"/>
                <w:szCs w:val="14"/>
                <w:lang w:eastAsia="cs-CZ"/>
              </w:rPr>
              <w:t xml:space="preserve"> – </w:t>
            </w:r>
            <w:r w:rsidRPr="002677A8">
              <w:rPr>
                <w:rFonts w:asciiTheme="majorHAnsi" w:eastAsia="Times New Roman" w:hAnsiTheme="majorHAnsi" w:cs="Calibri"/>
                <w:color w:val="000000"/>
                <w:sz w:val="14"/>
                <w:szCs w:val="14"/>
                <w:lang w:eastAsia="cs-CZ"/>
              </w:rPr>
              <w:t>odb. Odra</w:t>
            </w:r>
          </w:p>
        </w:tc>
        <w:tc>
          <w:tcPr>
            <w:tcW w:w="680"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6 350</w:t>
            </w:r>
          </w:p>
        </w:tc>
        <w:tc>
          <w:tcPr>
            <w:tcW w:w="545"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45"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45"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45"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c>
          <w:tcPr>
            <w:tcW w:w="669"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6 500</w:t>
            </w:r>
          </w:p>
        </w:tc>
        <w:tc>
          <w:tcPr>
            <w:tcW w:w="559"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500</w:t>
            </w:r>
          </w:p>
        </w:tc>
        <w:tc>
          <w:tcPr>
            <w:tcW w:w="559"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13</w:t>
            </w:r>
          </w:p>
        </w:tc>
        <w:tc>
          <w:tcPr>
            <w:tcW w:w="559" w:type="dxa"/>
            <w:tcBorders>
              <w:top w:val="nil"/>
              <w:left w:val="nil"/>
              <w:bottom w:val="single" w:sz="8" w:space="0" w:color="auto"/>
              <w:right w:val="single" w:sz="4" w:space="0" w:color="auto"/>
            </w:tcBorders>
            <w:shd w:val="clear" w:color="auto" w:fill="auto"/>
            <w:noWrap/>
            <w:vAlign w:val="bottom"/>
            <w:hideMark/>
          </w:tcPr>
          <w:p w:rsidR="00FF7D35" w:rsidRPr="00B27995" w:rsidRDefault="00FF7D35" w:rsidP="009C4FBA">
            <w:pPr>
              <w:jc w:val="center"/>
              <w:rPr>
                <w:rFonts w:asciiTheme="majorHAnsi" w:hAnsiTheme="majorHAnsi" w:cs="Calibri"/>
                <w:color w:val="000000"/>
                <w:sz w:val="14"/>
                <w:szCs w:val="14"/>
              </w:rPr>
            </w:pPr>
            <w:r w:rsidRPr="00B27995">
              <w:rPr>
                <w:rFonts w:asciiTheme="majorHAnsi" w:hAnsiTheme="majorHAnsi" w:cs="Calibri"/>
                <w:color w:val="000000"/>
                <w:sz w:val="14"/>
                <w:szCs w:val="14"/>
              </w:rPr>
              <w:t>1,7</w:t>
            </w:r>
          </w:p>
        </w:tc>
        <w:tc>
          <w:tcPr>
            <w:tcW w:w="559" w:type="dxa"/>
            <w:tcBorders>
              <w:top w:val="nil"/>
              <w:left w:val="nil"/>
              <w:bottom w:val="single" w:sz="8" w:space="0" w:color="auto"/>
              <w:right w:val="single" w:sz="8" w:space="0" w:color="auto"/>
            </w:tcBorders>
            <w:shd w:val="clear" w:color="auto" w:fill="auto"/>
            <w:noWrap/>
            <w:vAlign w:val="bottom"/>
            <w:hideMark/>
          </w:tcPr>
          <w:p w:rsidR="00FF7D35" w:rsidRPr="00B27995" w:rsidRDefault="00FF7D35" w:rsidP="009C4FBA">
            <w:pPr>
              <w:jc w:val="center"/>
              <w:rPr>
                <w:rFonts w:asciiTheme="majorHAnsi" w:hAnsiTheme="majorHAnsi" w:cs="Calibri"/>
                <w:b/>
                <w:bCs/>
                <w:color w:val="000000"/>
                <w:sz w:val="14"/>
                <w:szCs w:val="14"/>
              </w:rPr>
            </w:pPr>
            <w:r w:rsidRPr="00B27995">
              <w:rPr>
                <w:rFonts w:asciiTheme="majorHAnsi" w:hAnsiTheme="majorHAnsi" w:cs="Calibri"/>
                <w:b/>
                <w:bCs/>
                <w:color w:val="000000"/>
                <w:sz w:val="14"/>
                <w:szCs w:val="14"/>
              </w:rPr>
              <w:t>22</w:t>
            </w:r>
          </w:p>
        </w:tc>
      </w:tr>
    </w:tbl>
    <w:p w:rsidR="00FF7D35" w:rsidRDefault="00FF7D35" w:rsidP="0033475A">
      <w:pPr>
        <w:pStyle w:val="Nadpis2"/>
      </w:pPr>
      <w:bookmarkStart w:id="37" w:name="_Toc448407581"/>
      <w:bookmarkStart w:id="38" w:name="_Toc40186589"/>
      <w:r>
        <w:t>Přepravní výkony</w:t>
      </w:r>
      <w:bookmarkEnd w:id="37"/>
      <w:bookmarkEnd w:id="38"/>
    </w:p>
    <w:p w:rsidR="00FF7D35" w:rsidRDefault="00FF7D35" w:rsidP="00FF7D35">
      <w:r>
        <w:t>Přepravní výkony jsou členěny na:</w:t>
      </w:r>
    </w:p>
    <w:p w:rsidR="00FF7D35" w:rsidRPr="00D90889" w:rsidRDefault="00FF7D35" w:rsidP="00FF7D35">
      <w:pPr>
        <w:pStyle w:val="Odstavecseseznamem"/>
        <w:numPr>
          <w:ilvl w:val="0"/>
          <w:numId w:val="21"/>
        </w:numPr>
        <w:spacing w:before="160" w:after="0" w:line="288" w:lineRule="auto"/>
        <w:jc w:val="left"/>
      </w:pPr>
      <w:r>
        <w:t>v</w:t>
      </w:r>
      <w:r w:rsidRPr="00D90889">
        <w:t>ozokilometr</w:t>
      </w:r>
      <w:r>
        <w:t>y,</w:t>
      </w:r>
    </w:p>
    <w:p w:rsidR="00FF7D35" w:rsidRPr="00D90889" w:rsidRDefault="00FF7D35" w:rsidP="00FF7D35">
      <w:pPr>
        <w:pStyle w:val="Odstavecseseznamem"/>
        <w:numPr>
          <w:ilvl w:val="0"/>
          <w:numId w:val="21"/>
        </w:numPr>
        <w:spacing w:before="160" w:after="0" w:line="288" w:lineRule="auto"/>
        <w:jc w:val="left"/>
      </w:pPr>
      <w:r>
        <w:t>v</w:t>
      </w:r>
      <w:r w:rsidRPr="00D90889">
        <w:t>ozohodin</w:t>
      </w:r>
      <w:r>
        <w:t>y,</w:t>
      </w:r>
    </w:p>
    <w:p w:rsidR="00FF7D35" w:rsidRPr="00D90889" w:rsidRDefault="00FF7D35" w:rsidP="00FF7D35">
      <w:pPr>
        <w:pStyle w:val="Odstavecseseznamem"/>
        <w:numPr>
          <w:ilvl w:val="0"/>
          <w:numId w:val="21"/>
        </w:numPr>
        <w:spacing w:before="160" w:after="0" w:line="288" w:lineRule="auto"/>
        <w:jc w:val="left"/>
      </w:pPr>
      <w:r>
        <w:t>o</w:t>
      </w:r>
      <w:r w:rsidRPr="00D90889">
        <w:t>sobokilometr</w:t>
      </w:r>
      <w:r>
        <w:t>y,</w:t>
      </w:r>
    </w:p>
    <w:p w:rsidR="00FF7D35" w:rsidRPr="00D90889" w:rsidRDefault="00FF7D35" w:rsidP="00FF7D35">
      <w:pPr>
        <w:pStyle w:val="Odstavecseseznamem"/>
        <w:numPr>
          <w:ilvl w:val="0"/>
          <w:numId w:val="21"/>
        </w:numPr>
        <w:spacing w:before="160" w:after="0" w:line="288" w:lineRule="auto"/>
        <w:jc w:val="left"/>
      </w:pPr>
      <w:r>
        <w:t>osobohodiny.</w:t>
      </w:r>
    </w:p>
    <w:p w:rsidR="00FF7D35" w:rsidRDefault="00FF7D35" w:rsidP="00FF7D35">
      <w:r w:rsidRPr="008E66BE">
        <w:t xml:space="preserve">Výše uvedené veličiny </w:t>
      </w:r>
      <w:r w:rsidR="005B3A97">
        <w:t>byly</w:t>
      </w:r>
      <w:r w:rsidRPr="008E66BE">
        <w:t xml:space="preserve"> zpracovány samostatně pro </w:t>
      </w:r>
      <w:r>
        <w:t>autobusy, vlaky, tramvaje a osobní vozidla. Výjimku tvoří údaje o spotřebě času v osobohodinách, které jsou v modelu VHD vypočteny dohromady za autobusy i vlak, neboť v sobě zahrnují nejen dobu strávenou v daném dopravním prostředku, ale rovněž dobu na přestup a čekání na spoj. Hodnoty pro VHD se vztahují na celé území zahrnuté do dopravního modelu, ale pouze na linky zadané do dopravního modelu. Do celkových výkonů tak nejsou zahrnuty linky, které územím sice projíždí, ale nejsou do dopravního modelu zadány. Výkon pro IAD je vypočten na komunikační síti, jejíž rozsah přibližně odpovídá rozsahu modelu VHD.</w:t>
      </w:r>
    </w:p>
    <w:p w:rsidR="00FF7D35" w:rsidRDefault="00FF7D35" w:rsidP="00FF7D35">
      <w:r>
        <w:t xml:space="preserve">Denní hodnoty přepravních a dopravních výkonů VHD jsou přepočteny na roční hodnoty za předpokladu, že o víkendech je dosahováno cca 50 % výkonů pracovního dne. </w:t>
      </w:r>
      <w:r w:rsidRPr="009454C6">
        <w:rPr>
          <w:noProof/>
        </w:rPr>
        <w:t xml:space="preserve">Spotřeba času v osobohodinách je vypočtena jako součin matice přepravních vztahů a matice </w:t>
      </w:r>
      <w:r>
        <w:rPr>
          <w:noProof/>
        </w:rPr>
        <w:t xml:space="preserve">vnímané cestovní doby </w:t>
      </w:r>
      <w:r w:rsidRPr="009454C6">
        <w:rPr>
          <w:noProof/>
        </w:rPr>
        <w:t xml:space="preserve">mezi jednotlivými dopravními zónami. </w:t>
      </w:r>
      <w:r>
        <w:t>Výkonové ukazatele jsou vypočteny z dopravního modelu pro posuzované časové horizonty (roky 2025 a 2055). Rozdíl ve výkonech mezi variantou bez projektu a projektovými variantami představuje převedenou dopravu z autobusů a individuální dopravy na dopravu železniční.</w:t>
      </w:r>
    </w:p>
    <w:p w:rsidR="00232BC6" w:rsidRDefault="00232BC6" w:rsidP="00FF7D35"/>
    <w:p w:rsidR="00FF7D35" w:rsidRDefault="00FF7D35" w:rsidP="00FF7D35">
      <w:pPr>
        <w:pStyle w:val="Titulek"/>
      </w:pPr>
    </w:p>
    <w:p w:rsidR="0033475A" w:rsidRDefault="0033475A" w:rsidP="0033475A">
      <w:pPr>
        <w:pStyle w:val="Titulek"/>
        <w:keepNext/>
      </w:pPr>
      <w:r>
        <w:lastRenderedPageBreak/>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7</w:t>
      </w:r>
      <w:r w:rsidR="00115166">
        <w:rPr>
          <w:noProof/>
        </w:rPr>
        <w:fldChar w:fldCharType="end"/>
      </w:r>
      <w:r>
        <w:t xml:space="preserve"> </w:t>
      </w:r>
      <w:r w:rsidRPr="00786B20">
        <w:t>Přepravní výkony – varianta bez projektu – rok 2025</w:t>
      </w:r>
    </w:p>
    <w:tbl>
      <w:tblPr>
        <w:tblW w:w="7000" w:type="dxa"/>
        <w:tblInd w:w="55" w:type="dxa"/>
        <w:tblCellMar>
          <w:left w:w="70" w:type="dxa"/>
          <w:right w:w="70" w:type="dxa"/>
        </w:tblCellMar>
        <w:tblLook w:val="04A0" w:firstRow="1" w:lastRow="0" w:firstColumn="1" w:lastColumn="0" w:noHBand="0" w:noVBand="1"/>
      </w:tblPr>
      <w:tblGrid>
        <w:gridCol w:w="1920"/>
        <w:gridCol w:w="1260"/>
        <w:gridCol w:w="1180"/>
        <w:gridCol w:w="1300"/>
        <w:gridCol w:w="1340"/>
      </w:tblGrid>
      <w:tr w:rsidR="00FF7D35" w:rsidRPr="00EA66E5" w:rsidTr="009C4FBA">
        <w:trPr>
          <w:trHeight w:val="420"/>
        </w:trPr>
        <w:tc>
          <w:tcPr>
            <w:tcW w:w="1920" w:type="dxa"/>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ROK 2025</w:t>
            </w:r>
            <w:r>
              <w:rPr>
                <w:rFonts w:ascii="Verdana" w:eastAsia="Times New Roman" w:hAnsi="Verdana" w:cs="Calibri"/>
                <w:b/>
                <w:color w:val="000000"/>
                <w:sz w:val="14"/>
                <w:szCs w:val="14"/>
                <w:lang w:eastAsia="cs-CZ"/>
              </w:rPr>
              <w:t xml:space="preserve"> – </w:t>
            </w:r>
            <w:r w:rsidRPr="00453C01">
              <w:rPr>
                <w:rFonts w:ascii="Verdana" w:eastAsia="Times New Roman" w:hAnsi="Verdana" w:cs="Calibri"/>
                <w:b/>
                <w:color w:val="000000"/>
                <w:sz w:val="14"/>
                <w:szCs w:val="14"/>
                <w:lang w:eastAsia="cs-CZ"/>
              </w:rPr>
              <w:t>var. BEZ PROJEKTU</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vozokm</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vozohod</w:t>
            </w:r>
          </w:p>
        </w:tc>
        <w:tc>
          <w:tcPr>
            <w:tcW w:w="130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osobokm</w:t>
            </w:r>
          </w:p>
        </w:tc>
        <w:tc>
          <w:tcPr>
            <w:tcW w:w="134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vnímaná spotřeba času</w:t>
            </w:r>
          </w:p>
        </w:tc>
      </w:tr>
      <w:tr w:rsidR="00FF7D35" w:rsidRPr="00EA66E5" w:rsidTr="009C4FBA">
        <w:trPr>
          <w:trHeight w:val="225"/>
        </w:trPr>
        <w:tc>
          <w:tcPr>
            <w:tcW w:w="1920" w:type="dxa"/>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rPr>
                <w:rFonts w:ascii="Verdana" w:eastAsia="Times New Roman" w:hAnsi="Verdana" w:cs="Calibri"/>
                <w:b/>
                <w:color w:val="000000"/>
                <w:sz w:val="14"/>
                <w:szCs w:val="14"/>
                <w:lang w:eastAsia="cs-CZ"/>
              </w:rPr>
            </w:pPr>
          </w:p>
        </w:tc>
        <w:tc>
          <w:tcPr>
            <w:tcW w:w="126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rPr>
                <w:rFonts w:ascii="Verdana" w:eastAsia="Times New Roman" w:hAnsi="Verdana" w:cs="Calibri"/>
                <w:b/>
                <w:color w:val="000000"/>
                <w:sz w:val="14"/>
                <w:szCs w:val="14"/>
                <w:lang w:eastAsia="cs-CZ"/>
              </w:rPr>
            </w:pPr>
          </w:p>
        </w:tc>
        <w:tc>
          <w:tcPr>
            <w:tcW w:w="118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rPr>
                <w:rFonts w:ascii="Verdana" w:eastAsia="Times New Roman" w:hAnsi="Verdana" w:cs="Calibri"/>
                <w:b/>
                <w:color w:val="000000"/>
                <w:sz w:val="14"/>
                <w:szCs w:val="14"/>
                <w:lang w:eastAsia="cs-CZ"/>
              </w:rPr>
            </w:pPr>
          </w:p>
        </w:tc>
        <w:tc>
          <w:tcPr>
            <w:tcW w:w="130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rPr>
                <w:rFonts w:ascii="Verdana" w:eastAsia="Times New Roman" w:hAnsi="Verdana" w:cs="Calibri"/>
                <w:b/>
                <w:color w:val="000000"/>
                <w:sz w:val="14"/>
                <w:szCs w:val="14"/>
                <w:lang w:eastAsia="cs-CZ"/>
              </w:rPr>
            </w:pPr>
          </w:p>
        </w:tc>
        <w:tc>
          <w:tcPr>
            <w:tcW w:w="1340" w:type="dxa"/>
            <w:tcBorders>
              <w:top w:val="nil"/>
              <w:left w:val="nil"/>
              <w:bottom w:val="single" w:sz="8" w:space="0" w:color="auto"/>
              <w:right w:val="single" w:sz="8" w:space="0" w:color="auto"/>
            </w:tcBorders>
            <w:shd w:val="clear" w:color="auto" w:fill="D9D9D9" w:themeFill="background1" w:themeFillShade="D9"/>
            <w:noWrap/>
            <w:vAlign w:val="center"/>
            <w:hideMark/>
          </w:tcPr>
          <w:p w:rsidR="00FF7D35" w:rsidRPr="00453C01" w:rsidRDefault="00FF7D35" w:rsidP="009C4FBA">
            <w:pPr>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osobohod</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Autobus městský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20 815 729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868 736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296 374 716</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28 866 198</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Autobus regionální</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22 644 209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711 093</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373 614 170</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24 799 338</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Tramvaj</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8 822 175</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378 838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187 779 323</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19 715 764</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Trolejbus</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2 642 611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124 326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30 995 921</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3 585 949</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Vlak dálkový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5 513 821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76 508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578 792 892</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16 695 773</w:t>
            </w:r>
          </w:p>
        </w:tc>
      </w:tr>
      <w:tr w:rsidR="00FF7D35" w:rsidRPr="00EA66E5" w:rsidTr="009C4FBA">
        <w:trPr>
          <w:trHeight w:val="225"/>
        </w:trPr>
        <w:tc>
          <w:tcPr>
            <w:tcW w:w="1920" w:type="dxa"/>
            <w:tcBorders>
              <w:top w:val="nil"/>
              <w:left w:val="single" w:sz="8" w:space="0" w:color="auto"/>
              <w:bottom w:val="nil"/>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Vlak regionální</w:t>
            </w:r>
          </w:p>
        </w:tc>
        <w:tc>
          <w:tcPr>
            <w:tcW w:w="126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4 749 049</w:t>
            </w:r>
          </w:p>
        </w:tc>
        <w:tc>
          <w:tcPr>
            <w:tcW w:w="118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106 124</w:t>
            </w:r>
          </w:p>
        </w:tc>
        <w:tc>
          <w:tcPr>
            <w:tcW w:w="130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189 302 387</w:t>
            </w:r>
          </w:p>
        </w:tc>
        <w:tc>
          <w:tcPr>
            <w:tcW w:w="1340" w:type="dxa"/>
            <w:tcBorders>
              <w:top w:val="nil"/>
              <w:left w:val="nil"/>
              <w:bottom w:val="nil"/>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9 479 030</w:t>
            </w:r>
          </w:p>
        </w:tc>
      </w:tr>
      <w:tr w:rsidR="00FF7D35" w:rsidRPr="00EA66E5" w:rsidTr="009C4FBA">
        <w:trPr>
          <w:trHeight w:val="225"/>
        </w:trPr>
        <w:tc>
          <w:tcPr>
            <w:tcW w:w="19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Celkem VHD</w:t>
            </w:r>
          </w:p>
        </w:tc>
        <w:tc>
          <w:tcPr>
            <w:tcW w:w="126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65 187 593</w:t>
            </w:r>
          </w:p>
        </w:tc>
        <w:tc>
          <w:tcPr>
            <w:tcW w:w="118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2 265 624</w:t>
            </w:r>
          </w:p>
        </w:tc>
        <w:tc>
          <w:tcPr>
            <w:tcW w:w="130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1 656 859 408</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103 142 051</w:t>
            </w:r>
          </w:p>
        </w:tc>
      </w:tr>
      <w:tr w:rsidR="00FF7D35" w:rsidRPr="00EA66E5" w:rsidTr="009C4FBA">
        <w:trPr>
          <w:trHeight w:val="225"/>
        </w:trPr>
        <w:tc>
          <w:tcPr>
            <w:tcW w:w="1920" w:type="dxa"/>
            <w:tcBorders>
              <w:top w:val="nil"/>
              <w:left w:val="single" w:sz="8" w:space="0" w:color="auto"/>
              <w:bottom w:val="nil"/>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Osobní vozidla</w:t>
            </w:r>
          </w:p>
        </w:tc>
        <w:tc>
          <w:tcPr>
            <w:tcW w:w="126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3 569 451 420</w:t>
            </w:r>
          </w:p>
        </w:tc>
        <w:tc>
          <w:tcPr>
            <w:tcW w:w="118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61 914 735</w:t>
            </w:r>
          </w:p>
        </w:tc>
        <w:tc>
          <w:tcPr>
            <w:tcW w:w="1300" w:type="dxa"/>
            <w:tcBorders>
              <w:top w:val="nil"/>
              <w:left w:val="nil"/>
              <w:bottom w:val="nil"/>
              <w:right w:val="single" w:sz="4"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4 640 286 846</w:t>
            </w:r>
          </w:p>
        </w:tc>
        <w:tc>
          <w:tcPr>
            <w:tcW w:w="1340" w:type="dxa"/>
            <w:tcBorders>
              <w:top w:val="nil"/>
              <w:left w:val="nil"/>
              <w:bottom w:val="nil"/>
              <w:right w:val="single" w:sz="8" w:space="0" w:color="auto"/>
            </w:tcBorders>
            <w:shd w:val="clear" w:color="auto" w:fill="auto"/>
            <w:noWrap/>
            <w:vAlign w:val="center"/>
            <w:hideMark/>
          </w:tcPr>
          <w:p w:rsidR="00FF7D35" w:rsidRPr="00BC7D54" w:rsidRDefault="00FF7D35" w:rsidP="009C4FBA">
            <w:pPr>
              <w:keepNext/>
              <w:jc w:val="right"/>
              <w:rPr>
                <w:rFonts w:ascii="Verdana" w:eastAsia="Times New Roman" w:hAnsi="Verdana" w:cs="Calibri"/>
                <w:color w:val="000000"/>
                <w:sz w:val="14"/>
                <w:szCs w:val="14"/>
                <w:lang w:eastAsia="cs-CZ"/>
              </w:rPr>
            </w:pPr>
            <w:r w:rsidRPr="00BC7D54">
              <w:rPr>
                <w:rFonts w:ascii="Verdana" w:eastAsia="Times New Roman" w:hAnsi="Verdana" w:cs="Calibri"/>
                <w:color w:val="000000"/>
                <w:sz w:val="14"/>
                <w:szCs w:val="14"/>
                <w:lang w:eastAsia="cs-CZ"/>
              </w:rPr>
              <w:t>135 438 698</w:t>
            </w:r>
          </w:p>
        </w:tc>
      </w:tr>
      <w:tr w:rsidR="00FF7D35" w:rsidRPr="00EA66E5" w:rsidTr="009C4FBA">
        <w:trPr>
          <w:trHeight w:val="210"/>
        </w:trPr>
        <w:tc>
          <w:tcPr>
            <w:tcW w:w="5660" w:type="dxa"/>
            <w:gridSpan w:val="4"/>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stávající cestující</w:t>
            </w:r>
          </w:p>
        </w:tc>
        <w:tc>
          <w:tcPr>
            <w:tcW w:w="1340" w:type="dxa"/>
            <w:tcBorders>
              <w:top w:val="single" w:sz="8" w:space="0" w:color="auto"/>
              <w:left w:val="nil"/>
              <w:bottom w:val="single" w:sz="4"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103 142 051</w:t>
            </w:r>
          </w:p>
        </w:tc>
      </w:tr>
      <w:tr w:rsidR="00FF7D35" w:rsidRPr="00EA66E5" w:rsidTr="009C4FBA">
        <w:trPr>
          <w:trHeight w:val="210"/>
        </w:trPr>
        <w:tc>
          <w:tcPr>
            <w:tcW w:w="566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indukovaná</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0</w:t>
            </w:r>
          </w:p>
        </w:tc>
      </w:tr>
      <w:tr w:rsidR="00FF7D35" w:rsidRPr="00EA66E5" w:rsidTr="009C4FBA">
        <w:trPr>
          <w:trHeight w:val="225"/>
        </w:trPr>
        <w:tc>
          <w:tcPr>
            <w:tcW w:w="5660" w:type="dxa"/>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převedená z IAD</w:t>
            </w:r>
          </w:p>
        </w:tc>
        <w:tc>
          <w:tcPr>
            <w:tcW w:w="1340" w:type="dxa"/>
            <w:tcBorders>
              <w:top w:val="nil"/>
              <w:left w:val="nil"/>
              <w:bottom w:val="single" w:sz="8"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0</w:t>
            </w:r>
          </w:p>
        </w:tc>
      </w:tr>
    </w:tbl>
    <w:p w:rsidR="0033475A" w:rsidRDefault="0033475A" w:rsidP="0033475A">
      <w:pPr>
        <w:pStyle w:val="Titulek"/>
        <w:keepNext/>
      </w:pPr>
      <w:r>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8</w:t>
      </w:r>
      <w:r w:rsidR="00115166">
        <w:rPr>
          <w:noProof/>
        </w:rPr>
        <w:fldChar w:fldCharType="end"/>
      </w:r>
      <w:r>
        <w:t xml:space="preserve"> </w:t>
      </w:r>
      <w:r w:rsidRPr="00BA2BC2">
        <w:t>Přepravní výkony – varianta 3 – rok 2025</w:t>
      </w:r>
    </w:p>
    <w:tbl>
      <w:tblPr>
        <w:tblW w:w="7000" w:type="dxa"/>
        <w:tblInd w:w="55" w:type="dxa"/>
        <w:tblCellMar>
          <w:left w:w="70" w:type="dxa"/>
          <w:right w:w="70" w:type="dxa"/>
        </w:tblCellMar>
        <w:tblLook w:val="04A0" w:firstRow="1" w:lastRow="0" w:firstColumn="1" w:lastColumn="0" w:noHBand="0" w:noVBand="1"/>
      </w:tblPr>
      <w:tblGrid>
        <w:gridCol w:w="1920"/>
        <w:gridCol w:w="1260"/>
        <w:gridCol w:w="1180"/>
        <w:gridCol w:w="1300"/>
        <w:gridCol w:w="1340"/>
      </w:tblGrid>
      <w:tr w:rsidR="00FF7D35" w:rsidRPr="00D968DD" w:rsidTr="009C4FBA">
        <w:trPr>
          <w:trHeight w:val="420"/>
        </w:trPr>
        <w:tc>
          <w:tcPr>
            <w:tcW w:w="1920" w:type="dxa"/>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ROK 2025</w:t>
            </w:r>
            <w:r>
              <w:rPr>
                <w:rFonts w:ascii="Verdana" w:eastAsia="Times New Roman" w:hAnsi="Verdana" w:cs="Calibri"/>
                <w:b/>
                <w:color w:val="000000"/>
                <w:sz w:val="14"/>
                <w:szCs w:val="14"/>
                <w:lang w:eastAsia="cs-CZ"/>
              </w:rPr>
              <w:t xml:space="preserve"> – </w:t>
            </w:r>
            <w:r w:rsidRPr="00D968DD">
              <w:rPr>
                <w:rFonts w:ascii="Verdana" w:eastAsia="Times New Roman" w:hAnsi="Verdana" w:cs="Calibri"/>
                <w:b/>
                <w:color w:val="000000"/>
                <w:sz w:val="14"/>
                <w:szCs w:val="14"/>
                <w:lang w:eastAsia="cs-CZ"/>
              </w:rPr>
              <w:t>var.3</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vozokm</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vozohod</w:t>
            </w:r>
          </w:p>
        </w:tc>
        <w:tc>
          <w:tcPr>
            <w:tcW w:w="130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osobokm</w:t>
            </w:r>
          </w:p>
        </w:tc>
        <w:tc>
          <w:tcPr>
            <w:tcW w:w="134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vnímaná spotřeba času</w:t>
            </w:r>
          </w:p>
        </w:tc>
      </w:tr>
      <w:tr w:rsidR="00FF7D35" w:rsidRPr="00D968DD" w:rsidTr="009C4FBA">
        <w:trPr>
          <w:trHeight w:val="225"/>
        </w:trPr>
        <w:tc>
          <w:tcPr>
            <w:tcW w:w="1920" w:type="dxa"/>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26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18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30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340" w:type="dxa"/>
            <w:tcBorders>
              <w:top w:val="nil"/>
              <w:left w:val="nil"/>
              <w:bottom w:val="single" w:sz="8" w:space="0" w:color="auto"/>
              <w:right w:val="single" w:sz="8"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osobohod</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Autobus městský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20 815 729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868 736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295 221 543</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28 837 984</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Autobus regionální</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22 644 209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711 093</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370 149 715</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24 711 844</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Tramvaj</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8 822 175</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378 838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184 769 288</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19 467 869</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Trolejbus</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2 642 611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124 326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31 293 006</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3 629 669</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Vlak dálkový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5 513 821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74 349</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564 909 775</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15 898 708</w:t>
            </w:r>
          </w:p>
        </w:tc>
      </w:tr>
      <w:tr w:rsidR="00FF7D35" w:rsidRPr="00D968DD" w:rsidTr="009C4FBA">
        <w:trPr>
          <w:trHeight w:val="225"/>
        </w:trPr>
        <w:tc>
          <w:tcPr>
            <w:tcW w:w="1920" w:type="dxa"/>
            <w:tcBorders>
              <w:top w:val="nil"/>
              <w:left w:val="single" w:sz="8" w:space="0" w:color="auto"/>
              <w:bottom w:val="nil"/>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Vlak regionální</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5 117 090</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112 603</w:t>
            </w:r>
          </w:p>
        </w:tc>
        <w:tc>
          <w:tcPr>
            <w:tcW w:w="130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211 108 093</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10 356 075</w:t>
            </w:r>
          </w:p>
        </w:tc>
      </w:tr>
      <w:tr w:rsidR="00FF7D35" w:rsidRPr="00D968DD" w:rsidTr="009C4FBA">
        <w:trPr>
          <w:trHeight w:val="225"/>
        </w:trPr>
        <w:tc>
          <w:tcPr>
            <w:tcW w:w="1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Celkem VHD</w:t>
            </w:r>
          </w:p>
        </w:tc>
        <w:tc>
          <w:tcPr>
            <w:tcW w:w="126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65 555 633</w:t>
            </w:r>
          </w:p>
        </w:tc>
        <w:tc>
          <w:tcPr>
            <w:tcW w:w="118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2 269 943</w:t>
            </w:r>
          </w:p>
        </w:tc>
        <w:tc>
          <w:tcPr>
            <w:tcW w:w="130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1 657 451 419</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102 902 149</w:t>
            </w:r>
          </w:p>
        </w:tc>
      </w:tr>
      <w:tr w:rsidR="00FF7D35" w:rsidRPr="00D968DD" w:rsidTr="009C4FBA">
        <w:trPr>
          <w:trHeight w:val="225"/>
        </w:trPr>
        <w:tc>
          <w:tcPr>
            <w:tcW w:w="1920" w:type="dxa"/>
            <w:tcBorders>
              <w:top w:val="nil"/>
              <w:left w:val="single" w:sz="8" w:space="0" w:color="auto"/>
              <w:bottom w:val="nil"/>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Osobní vozidla</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3 569 426 580</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61 913 700</w:t>
            </w:r>
          </w:p>
        </w:tc>
        <w:tc>
          <w:tcPr>
            <w:tcW w:w="1300" w:type="dxa"/>
            <w:tcBorders>
              <w:top w:val="nil"/>
              <w:left w:val="nil"/>
              <w:bottom w:val="nil"/>
              <w:right w:val="single" w:sz="4" w:space="0" w:color="auto"/>
            </w:tcBorders>
            <w:shd w:val="clear" w:color="auto" w:fill="auto"/>
            <w:noWrap/>
            <w:vAlign w:val="center"/>
            <w:hideMark/>
          </w:tcPr>
          <w:p w:rsidR="00FF7D35" w:rsidRPr="00B54A1B" w:rsidRDefault="00FF7D35" w:rsidP="009C4FBA">
            <w:pPr>
              <w:keepNext/>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4 640 254 554</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135 436 312</w:t>
            </w:r>
          </w:p>
        </w:tc>
      </w:tr>
      <w:tr w:rsidR="00FF7D35" w:rsidRPr="00D968DD" w:rsidTr="009C4FBA">
        <w:trPr>
          <w:trHeight w:val="210"/>
        </w:trPr>
        <w:tc>
          <w:tcPr>
            <w:tcW w:w="5660"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stávající cestující</w:t>
            </w:r>
          </w:p>
        </w:tc>
        <w:tc>
          <w:tcPr>
            <w:tcW w:w="1340" w:type="dxa"/>
            <w:tcBorders>
              <w:top w:val="single" w:sz="8" w:space="0" w:color="auto"/>
              <w:left w:val="nil"/>
              <w:bottom w:val="single" w:sz="4"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102 881 53</w:t>
            </w:r>
            <w:r>
              <w:rPr>
                <w:rFonts w:ascii="Verdana" w:eastAsia="Times New Roman" w:hAnsi="Verdana" w:cs="Calibri"/>
                <w:color w:val="000000"/>
                <w:sz w:val="14"/>
                <w:szCs w:val="14"/>
                <w:lang w:eastAsia="cs-CZ"/>
              </w:rPr>
              <w:t>5</w:t>
            </w:r>
          </w:p>
        </w:tc>
      </w:tr>
      <w:tr w:rsidR="00FF7D35" w:rsidRPr="00D968DD" w:rsidTr="009C4FBA">
        <w:trPr>
          <w:trHeight w:val="210"/>
        </w:trPr>
        <w:tc>
          <w:tcPr>
            <w:tcW w:w="5660"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indukovaná</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18 674</w:t>
            </w:r>
          </w:p>
        </w:tc>
      </w:tr>
      <w:tr w:rsidR="00FF7D35" w:rsidRPr="00D968DD" w:rsidTr="009C4FBA">
        <w:trPr>
          <w:trHeight w:val="225"/>
        </w:trPr>
        <w:tc>
          <w:tcPr>
            <w:tcW w:w="5660"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převedená z IAD</w:t>
            </w:r>
          </w:p>
        </w:tc>
        <w:tc>
          <w:tcPr>
            <w:tcW w:w="1340" w:type="dxa"/>
            <w:tcBorders>
              <w:top w:val="nil"/>
              <w:left w:val="nil"/>
              <w:bottom w:val="single" w:sz="8"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1 940</w:t>
            </w:r>
          </w:p>
        </w:tc>
      </w:tr>
    </w:tbl>
    <w:p w:rsidR="0033475A" w:rsidRDefault="0033475A" w:rsidP="0033475A">
      <w:pPr>
        <w:pStyle w:val="Titulek"/>
        <w:keepNext/>
      </w:pPr>
      <w:r>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9</w:t>
      </w:r>
      <w:r w:rsidR="00115166">
        <w:rPr>
          <w:noProof/>
        </w:rPr>
        <w:fldChar w:fldCharType="end"/>
      </w:r>
      <w:r>
        <w:t xml:space="preserve"> </w:t>
      </w:r>
      <w:r w:rsidRPr="00415C74">
        <w:t>Přepravní výkony – varianta bez projektu – rok 2055</w:t>
      </w:r>
    </w:p>
    <w:tbl>
      <w:tblPr>
        <w:tblW w:w="7000" w:type="dxa"/>
        <w:tblInd w:w="55" w:type="dxa"/>
        <w:tblCellMar>
          <w:left w:w="70" w:type="dxa"/>
          <w:right w:w="70" w:type="dxa"/>
        </w:tblCellMar>
        <w:tblLook w:val="04A0" w:firstRow="1" w:lastRow="0" w:firstColumn="1" w:lastColumn="0" w:noHBand="0" w:noVBand="1"/>
      </w:tblPr>
      <w:tblGrid>
        <w:gridCol w:w="1920"/>
        <w:gridCol w:w="1260"/>
        <w:gridCol w:w="1180"/>
        <w:gridCol w:w="1300"/>
        <w:gridCol w:w="1340"/>
      </w:tblGrid>
      <w:tr w:rsidR="00FF7D35" w:rsidRPr="00EA66E5" w:rsidTr="009C4FBA">
        <w:trPr>
          <w:trHeight w:val="420"/>
        </w:trPr>
        <w:tc>
          <w:tcPr>
            <w:tcW w:w="1920" w:type="dxa"/>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ROK 2055</w:t>
            </w:r>
            <w:r>
              <w:rPr>
                <w:rFonts w:ascii="Verdana" w:eastAsia="Times New Roman" w:hAnsi="Verdana" w:cs="Calibri"/>
                <w:b/>
                <w:color w:val="000000"/>
                <w:sz w:val="14"/>
                <w:szCs w:val="14"/>
                <w:lang w:eastAsia="cs-CZ"/>
              </w:rPr>
              <w:t xml:space="preserve"> – </w:t>
            </w:r>
            <w:r w:rsidRPr="00453C01">
              <w:rPr>
                <w:rFonts w:ascii="Verdana" w:eastAsia="Times New Roman" w:hAnsi="Verdana" w:cs="Calibri"/>
                <w:b/>
                <w:color w:val="000000"/>
                <w:sz w:val="14"/>
                <w:szCs w:val="14"/>
                <w:lang w:eastAsia="cs-CZ"/>
              </w:rPr>
              <w:t>var. BEZ PROJEKTU</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vozokm</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vozohod</w:t>
            </w:r>
          </w:p>
        </w:tc>
        <w:tc>
          <w:tcPr>
            <w:tcW w:w="130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osobokm</w:t>
            </w:r>
          </w:p>
        </w:tc>
        <w:tc>
          <w:tcPr>
            <w:tcW w:w="134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vnímaná spotřeba času</w:t>
            </w:r>
          </w:p>
        </w:tc>
      </w:tr>
      <w:tr w:rsidR="00FF7D35" w:rsidRPr="00EA66E5" w:rsidTr="009C4FBA">
        <w:trPr>
          <w:trHeight w:val="225"/>
        </w:trPr>
        <w:tc>
          <w:tcPr>
            <w:tcW w:w="1920" w:type="dxa"/>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keepNext/>
              <w:rPr>
                <w:rFonts w:ascii="Verdana" w:eastAsia="Times New Roman" w:hAnsi="Verdana" w:cs="Calibri"/>
                <w:b/>
                <w:color w:val="000000"/>
                <w:sz w:val="14"/>
                <w:szCs w:val="14"/>
                <w:lang w:eastAsia="cs-CZ"/>
              </w:rPr>
            </w:pPr>
          </w:p>
        </w:tc>
        <w:tc>
          <w:tcPr>
            <w:tcW w:w="126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keepNext/>
              <w:rPr>
                <w:rFonts w:ascii="Verdana" w:eastAsia="Times New Roman" w:hAnsi="Verdana" w:cs="Calibri"/>
                <w:b/>
                <w:color w:val="000000"/>
                <w:sz w:val="14"/>
                <w:szCs w:val="14"/>
                <w:lang w:eastAsia="cs-CZ"/>
              </w:rPr>
            </w:pPr>
          </w:p>
        </w:tc>
        <w:tc>
          <w:tcPr>
            <w:tcW w:w="118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keepNext/>
              <w:rPr>
                <w:rFonts w:ascii="Verdana" w:eastAsia="Times New Roman" w:hAnsi="Verdana" w:cs="Calibri"/>
                <w:b/>
                <w:color w:val="000000"/>
                <w:sz w:val="14"/>
                <w:szCs w:val="14"/>
                <w:lang w:eastAsia="cs-CZ"/>
              </w:rPr>
            </w:pPr>
          </w:p>
        </w:tc>
        <w:tc>
          <w:tcPr>
            <w:tcW w:w="130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453C01" w:rsidRDefault="00FF7D35" w:rsidP="009C4FBA">
            <w:pPr>
              <w:keepNext/>
              <w:rPr>
                <w:rFonts w:ascii="Verdana" w:eastAsia="Times New Roman" w:hAnsi="Verdana" w:cs="Calibri"/>
                <w:b/>
                <w:color w:val="000000"/>
                <w:sz w:val="14"/>
                <w:szCs w:val="14"/>
                <w:lang w:eastAsia="cs-CZ"/>
              </w:rPr>
            </w:pPr>
          </w:p>
        </w:tc>
        <w:tc>
          <w:tcPr>
            <w:tcW w:w="1340" w:type="dxa"/>
            <w:tcBorders>
              <w:top w:val="nil"/>
              <w:left w:val="nil"/>
              <w:bottom w:val="single" w:sz="8" w:space="0" w:color="auto"/>
              <w:right w:val="single" w:sz="8" w:space="0" w:color="auto"/>
            </w:tcBorders>
            <w:shd w:val="clear" w:color="auto" w:fill="D9D9D9" w:themeFill="background1" w:themeFillShade="D9"/>
            <w:noWrap/>
            <w:vAlign w:val="center"/>
            <w:hideMark/>
          </w:tcPr>
          <w:p w:rsidR="00FF7D35" w:rsidRPr="00453C01" w:rsidRDefault="00FF7D35" w:rsidP="009C4FBA">
            <w:pPr>
              <w:keepNext/>
              <w:jc w:val="center"/>
              <w:rPr>
                <w:rFonts w:ascii="Verdana" w:eastAsia="Times New Roman" w:hAnsi="Verdana" w:cs="Calibri"/>
                <w:b/>
                <w:color w:val="000000"/>
                <w:sz w:val="14"/>
                <w:szCs w:val="14"/>
                <w:lang w:eastAsia="cs-CZ"/>
              </w:rPr>
            </w:pPr>
            <w:r w:rsidRPr="00453C01">
              <w:rPr>
                <w:rFonts w:ascii="Verdana" w:eastAsia="Times New Roman" w:hAnsi="Verdana" w:cs="Calibri"/>
                <w:b/>
                <w:color w:val="000000"/>
                <w:sz w:val="14"/>
                <w:szCs w:val="14"/>
                <w:lang w:eastAsia="cs-CZ"/>
              </w:rPr>
              <w:t>osobohod</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Autobus městský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20 815 729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868 736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349 860 595</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33 651 723</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Autobus regionální</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22 644 209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711 093</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408 882 198</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26 878 196</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Tramvaj</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8 822 175</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378 838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205 029 100</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21 422 514</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Trolejbus</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2 642 611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124 326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35 300 113</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4 080 002</w:t>
            </w:r>
          </w:p>
        </w:tc>
      </w:tr>
      <w:tr w:rsidR="00FF7D35" w:rsidRPr="00EA66E5"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Vlak dálkový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5 513 821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76 508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691 567 844</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19 570 281</w:t>
            </w:r>
          </w:p>
        </w:tc>
      </w:tr>
      <w:tr w:rsidR="00FF7D35" w:rsidRPr="00EA66E5" w:rsidTr="009C4FBA">
        <w:trPr>
          <w:trHeight w:val="225"/>
        </w:trPr>
        <w:tc>
          <w:tcPr>
            <w:tcW w:w="1920" w:type="dxa"/>
            <w:tcBorders>
              <w:top w:val="nil"/>
              <w:left w:val="single" w:sz="8" w:space="0" w:color="auto"/>
              <w:bottom w:val="nil"/>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Vlak regionální</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4 749 049</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106 124</w:t>
            </w:r>
          </w:p>
        </w:tc>
        <w:tc>
          <w:tcPr>
            <w:tcW w:w="130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203 727 230</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10 191 907</w:t>
            </w:r>
          </w:p>
        </w:tc>
      </w:tr>
      <w:tr w:rsidR="00FF7D35" w:rsidRPr="00EA66E5" w:rsidTr="009C4FBA">
        <w:trPr>
          <w:trHeight w:val="225"/>
        </w:trPr>
        <w:tc>
          <w:tcPr>
            <w:tcW w:w="19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F7D35" w:rsidRPr="00EA66E5" w:rsidRDefault="00FF7D35" w:rsidP="009C4FBA">
            <w:pPr>
              <w:keepNex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Celkem VHD</w:t>
            </w:r>
          </w:p>
        </w:tc>
        <w:tc>
          <w:tcPr>
            <w:tcW w:w="126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65 187 593</w:t>
            </w:r>
          </w:p>
        </w:tc>
        <w:tc>
          <w:tcPr>
            <w:tcW w:w="118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2 265 624</w:t>
            </w:r>
          </w:p>
        </w:tc>
        <w:tc>
          <w:tcPr>
            <w:tcW w:w="130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1 894 367 079</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115 794 624</w:t>
            </w:r>
          </w:p>
        </w:tc>
      </w:tr>
      <w:tr w:rsidR="00FF7D35" w:rsidRPr="00EA66E5" w:rsidTr="009C4FBA">
        <w:trPr>
          <w:trHeight w:val="225"/>
        </w:trPr>
        <w:tc>
          <w:tcPr>
            <w:tcW w:w="1920" w:type="dxa"/>
            <w:tcBorders>
              <w:top w:val="nil"/>
              <w:left w:val="single" w:sz="8" w:space="0" w:color="auto"/>
              <w:bottom w:val="nil"/>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Osobní vozidla</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4 517 150 205</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79 965 825</w:t>
            </w:r>
          </w:p>
        </w:tc>
        <w:tc>
          <w:tcPr>
            <w:tcW w:w="130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5 872 295 267</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169 463 680</w:t>
            </w:r>
          </w:p>
        </w:tc>
      </w:tr>
      <w:tr w:rsidR="00FF7D35" w:rsidRPr="00EA66E5" w:rsidTr="009C4FBA">
        <w:trPr>
          <w:trHeight w:val="210"/>
        </w:trPr>
        <w:tc>
          <w:tcPr>
            <w:tcW w:w="5660" w:type="dxa"/>
            <w:gridSpan w:val="4"/>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stávající cestující</w:t>
            </w:r>
          </w:p>
        </w:tc>
        <w:tc>
          <w:tcPr>
            <w:tcW w:w="1340" w:type="dxa"/>
            <w:tcBorders>
              <w:top w:val="single" w:sz="8" w:space="0" w:color="auto"/>
              <w:left w:val="nil"/>
              <w:bottom w:val="single" w:sz="4"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115 794 624</w:t>
            </w:r>
          </w:p>
        </w:tc>
      </w:tr>
      <w:tr w:rsidR="00FF7D35" w:rsidRPr="00EA66E5" w:rsidTr="009C4FBA">
        <w:trPr>
          <w:trHeight w:val="210"/>
        </w:trPr>
        <w:tc>
          <w:tcPr>
            <w:tcW w:w="566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indukovaná</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0</w:t>
            </w:r>
          </w:p>
        </w:tc>
      </w:tr>
      <w:tr w:rsidR="00FF7D35" w:rsidRPr="00EA66E5" w:rsidTr="009C4FBA">
        <w:trPr>
          <w:trHeight w:val="225"/>
        </w:trPr>
        <w:tc>
          <w:tcPr>
            <w:tcW w:w="5660" w:type="dxa"/>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F7D35" w:rsidRPr="00EA66E5" w:rsidRDefault="00FF7D35" w:rsidP="009C4FBA">
            <w:pPr>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VHD</w:t>
            </w:r>
            <w:r>
              <w:rPr>
                <w:rFonts w:ascii="Verdana" w:eastAsia="Times New Roman" w:hAnsi="Verdana" w:cs="Calibri"/>
                <w:color w:val="000000"/>
                <w:sz w:val="14"/>
                <w:szCs w:val="14"/>
                <w:lang w:eastAsia="cs-CZ"/>
              </w:rPr>
              <w:t xml:space="preserve"> – </w:t>
            </w:r>
            <w:r w:rsidRPr="00EA66E5">
              <w:rPr>
                <w:rFonts w:ascii="Verdana" w:eastAsia="Times New Roman" w:hAnsi="Verdana" w:cs="Calibri"/>
                <w:color w:val="000000"/>
                <w:sz w:val="14"/>
                <w:szCs w:val="14"/>
                <w:lang w:eastAsia="cs-CZ"/>
              </w:rPr>
              <w:t>převedená z IAD</w:t>
            </w:r>
          </w:p>
        </w:tc>
        <w:tc>
          <w:tcPr>
            <w:tcW w:w="1340" w:type="dxa"/>
            <w:tcBorders>
              <w:top w:val="nil"/>
              <w:left w:val="nil"/>
              <w:bottom w:val="single" w:sz="8" w:space="0" w:color="auto"/>
              <w:right w:val="single" w:sz="8" w:space="0" w:color="auto"/>
            </w:tcBorders>
            <w:shd w:val="clear" w:color="auto" w:fill="auto"/>
            <w:noWrap/>
            <w:vAlign w:val="center"/>
            <w:hideMark/>
          </w:tcPr>
          <w:p w:rsidR="00FF7D35" w:rsidRPr="00EA66E5" w:rsidRDefault="00FF7D35" w:rsidP="009C4FBA">
            <w:pPr>
              <w:jc w:val="right"/>
              <w:rPr>
                <w:rFonts w:ascii="Verdana" w:eastAsia="Times New Roman" w:hAnsi="Verdana" w:cs="Calibri"/>
                <w:color w:val="000000"/>
                <w:sz w:val="14"/>
                <w:szCs w:val="14"/>
                <w:lang w:eastAsia="cs-CZ"/>
              </w:rPr>
            </w:pPr>
            <w:r w:rsidRPr="00EA66E5">
              <w:rPr>
                <w:rFonts w:ascii="Verdana" w:eastAsia="Times New Roman" w:hAnsi="Verdana" w:cs="Calibri"/>
                <w:color w:val="000000"/>
                <w:sz w:val="14"/>
                <w:szCs w:val="14"/>
                <w:lang w:eastAsia="cs-CZ"/>
              </w:rPr>
              <w:t>0</w:t>
            </w:r>
          </w:p>
        </w:tc>
      </w:tr>
    </w:tbl>
    <w:p w:rsidR="0033475A" w:rsidRDefault="0033475A" w:rsidP="0033475A">
      <w:pPr>
        <w:pStyle w:val="Titulek"/>
        <w:keepNext/>
      </w:pPr>
      <w:r>
        <w:lastRenderedPageBreak/>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10</w:t>
      </w:r>
      <w:r w:rsidR="00115166">
        <w:rPr>
          <w:noProof/>
        </w:rPr>
        <w:fldChar w:fldCharType="end"/>
      </w:r>
      <w:r>
        <w:t xml:space="preserve"> </w:t>
      </w:r>
      <w:r w:rsidRPr="00456E2C">
        <w:t>Přepravní výkony – varianta 3 – rok 2055</w:t>
      </w:r>
    </w:p>
    <w:tbl>
      <w:tblPr>
        <w:tblW w:w="7000" w:type="dxa"/>
        <w:tblInd w:w="55" w:type="dxa"/>
        <w:tblCellMar>
          <w:left w:w="70" w:type="dxa"/>
          <w:right w:w="70" w:type="dxa"/>
        </w:tblCellMar>
        <w:tblLook w:val="04A0" w:firstRow="1" w:lastRow="0" w:firstColumn="1" w:lastColumn="0" w:noHBand="0" w:noVBand="1"/>
      </w:tblPr>
      <w:tblGrid>
        <w:gridCol w:w="1920"/>
        <w:gridCol w:w="1260"/>
        <w:gridCol w:w="1180"/>
        <w:gridCol w:w="1300"/>
        <w:gridCol w:w="1340"/>
      </w:tblGrid>
      <w:tr w:rsidR="00FF7D35" w:rsidRPr="00D968DD" w:rsidTr="009C4FBA">
        <w:trPr>
          <w:trHeight w:val="420"/>
        </w:trPr>
        <w:tc>
          <w:tcPr>
            <w:tcW w:w="1920" w:type="dxa"/>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ROK 2055</w:t>
            </w:r>
            <w:r>
              <w:rPr>
                <w:rFonts w:ascii="Verdana" w:eastAsia="Times New Roman" w:hAnsi="Verdana" w:cs="Calibri"/>
                <w:b/>
                <w:color w:val="000000"/>
                <w:sz w:val="14"/>
                <w:szCs w:val="14"/>
                <w:lang w:eastAsia="cs-CZ"/>
              </w:rPr>
              <w:t xml:space="preserve"> – </w:t>
            </w:r>
            <w:r w:rsidRPr="00D968DD">
              <w:rPr>
                <w:rFonts w:ascii="Verdana" w:eastAsia="Times New Roman" w:hAnsi="Verdana" w:cs="Calibri"/>
                <w:b/>
                <w:color w:val="000000"/>
                <w:sz w:val="14"/>
                <w:szCs w:val="14"/>
                <w:lang w:eastAsia="cs-CZ"/>
              </w:rPr>
              <w:t>var.3</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vozokm</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vozohod</w:t>
            </w:r>
          </w:p>
        </w:tc>
        <w:tc>
          <w:tcPr>
            <w:tcW w:w="1300"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osobokm</w:t>
            </w:r>
          </w:p>
        </w:tc>
        <w:tc>
          <w:tcPr>
            <w:tcW w:w="134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vnímaná spotřeba času</w:t>
            </w:r>
          </w:p>
        </w:tc>
      </w:tr>
      <w:tr w:rsidR="00FF7D35" w:rsidRPr="00D968DD" w:rsidTr="009C4FBA">
        <w:trPr>
          <w:trHeight w:val="225"/>
        </w:trPr>
        <w:tc>
          <w:tcPr>
            <w:tcW w:w="1920" w:type="dxa"/>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26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18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300"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rsidR="00FF7D35" w:rsidRPr="00D968DD" w:rsidRDefault="00FF7D35" w:rsidP="009C4FBA">
            <w:pPr>
              <w:keepNext/>
              <w:rPr>
                <w:rFonts w:ascii="Verdana" w:eastAsia="Times New Roman" w:hAnsi="Verdana" w:cs="Calibri"/>
                <w:b/>
                <w:color w:val="000000"/>
                <w:sz w:val="14"/>
                <w:szCs w:val="14"/>
                <w:lang w:eastAsia="cs-CZ"/>
              </w:rPr>
            </w:pPr>
          </w:p>
        </w:tc>
        <w:tc>
          <w:tcPr>
            <w:tcW w:w="1340" w:type="dxa"/>
            <w:tcBorders>
              <w:top w:val="nil"/>
              <w:left w:val="nil"/>
              <w:bottom w:val="single" w:sz="8" w:space="0" w:color="auto"/>
              <w:right w:val="single" w:sz="8" w:space="0" w:color="auto"/>
            </w:tcBorders>
            <w:shd w:val="clear" w:color="auto" w:fill="D9D9D9" w:themeFill="background1" w:themeFillShade="D9"/>
            <w:noWrap/>
            <w:vAlign w:val="center"/>
            <w:hideMark/>
          </w:tcPr>
          <w:p w:rsidR="00FF7D35" w:rsidRPr="00D968DD" w:rsidRDefault="00FF7D35" w:rsidP="009C4FBA">
            <w:pPr>
              <w:keepNext/>
              <w:jc w:val="center"/>
              <w:rPr>
                <w:rFonts w:ascii="Verdana" w:eastAsia="Times New Roman" w:hAnsi="Verdana" w:cs="Calibri"/>
                <w:b/>
                <w:color w:val="000000"/>
                <w:sz w:val="14"/>
                <w:szCs w:val="14"/>
                <w:lang w:eastAsia="cs-CZ"/>
              </w:rPr>
            </w:pPr>
            <w:r w:rsidRPr="00D968DD">
              <w:rPr>
                <w:rFonts w:ascii="Verdana" w:eastAsia="Times New Roman" w:hAnsi="Verdana" w:cs="Calibri"/>
                <w:b/>
                <w:color w:val="000000"/>
                <w:sz w:val="14"/>
                <w:szCs w:val="14"/>
                <w:lang w:eastAsia="cs-CZ"/>
              </w:rPr>
              <w:t>osobohod</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Autobus městský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20 815 729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868 736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348 473 271</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33 612 286</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Autobus regionální</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22 644 209</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711 093</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405 754 317</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26 821 128</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Tramvaj</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8 822 175</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378 838</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201 502 020</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21 130 884</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Trolejbus</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2 642 611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124 326</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35 763 788</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4 144 479</w:t>
            </w:r>
          </w:p>
        </w:tc>
      </w:tr>
      <w:tr w:rsidR="00FF7D35" w:rsidRPr="00D968DD" w:rsidTr="009C4FBA">
        <w:trPr>
          <w:trHeight w:val="210"/>
        </w:trPr>
        <w:tc>
          <w:tcPr>
            <w:tcW w:w="1920" w:type="dxa"/>
            <w:tcBorders>
              <w:top w:val="nil"/>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Vlak dálkový</w:t>
            </w:r>
          </w:p>
        </w:tc>
        <w:tc>
          <w:tcPr>
            <w:tcW w:w="126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5 513 821</w:t>
            </w:r>
          </w:p>
        </w:tc>
        <w:tc>
          <w:tcPr>
            <w:tcW w:w="118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74 349</w:t>
            </w:r>
          </w:p>
        </w:tc>
        <w:tc>
          <w:tcPr>
            <w:tcW w:w="1300" w:type="dxa"/>
            <w:tcBorders>
              <w:top w:val="nil"/>
              <w:left w:val="nil"/>
              <w:bottom w:val="single" w:sz="4"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676 350 156</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18 703 149</w:t>
            </w:r>
          </w:p>
        </w:tc>
      </w:tr>
      <w:tr w:rsidR="00FF7D35" w:rsidRPr="00D968DD" w:rsidTr="009C4FBA">
        <w:trPr>
          <w:trHeight w:val="225"/>
        </w:trPr>
        <w:tc>
          <w:tcPr>
            <w:tcW w:w="1920" w:type="dxa"/>
            <w:tcBorders>
              <w:top w:val="nil"/>
              <w:left w:val="single" w:sz="8" w:space="0" w:color="auto"/>
              <w:bottom w:val="nil"/>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Vlak regionální</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5 117 090</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112 603</w:t>
            </w:r>
          </w:p>
        </w:tc>
        <w:tc>
          <w:tcPr>
            <w:tcW w:w="130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227 366 351</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11 138 335</w:t>
            </w:r>
          </w:p>
        </w:tc>
      </w:tr>
      <w:tr w:rsidR="00FF7D35" w:rsidRPr="00D968DD" w:rsidTr="009C4FBA">
        <w:trPr>
          <w:trHeight w:val="225"/>
        </w:trPr>
        <w:tc>
          <w:tcPr>
            <w:tcW w:w="1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Celkem VHD</w:t>
            </w:r>
          </w:p>
        </w:tc>
        <w:tc>
          <w:tcPr>
            <w:tcW w:w="126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65 555 633</w:t>
            </w:r>
          </w:p>
        </w:tc>
        <w:tc>
          <w:tcPr>
            <w:tcW w:w="118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2 269 943</w:t>
            </w:r>
          </w:p>
        </w:tc>
        <w:tc>
          <w:tcPr>
            <w:tcW w:w="1300" w:type="dxa"/>
            <w:tcBorders>
              <w:top w:val="single" w:sz="8" w:space="0" w:color="auto"/>
              <w:left w:val="nil"/>
              <w:bottom w:val="single" w:sz="8" w:space="0" w:color="auto"/>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1 895 209 901</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115 550 261</w:t>
            </w:r>
          </w:p>
        </w:tc>
      </w:tr>
      <w:tr w:rsidR="00FF7D35" w:rsidRPr="00D968DD" w:rsidTr="009C4FBA">
        <w:trPr>
          <w:trHeight w:val="225"/>
        </w:trPr>
        <w:tc>
          <w:tcPr>
            <w:tcW w:w="1920" w:type="dxa"/>
            <w:tcBorders>
              <w:top w:val="nil"/>
              <w:left w:val="single" w:sz="8" w:space="0" w:color="auto"/>
              <w:bottom w:val="nil"/>
              <w:right w:val="single" w:sz="4" w:space="0" w:color="auto"/>
            </w:tcBorders>
            <w:shd w:val="clear" w:color="auto" w:fill="auto"/>
            <w:noWrap/>
            <w:vAlign w:val="bottom"/>
            <w:hideMark/>
          </w:tcPr>
          <w:p w:rsidR="00FF7D35" w:rsidRPr="00B236B7" w:rsidRDefault="00FF7D35" w:rsidP="009C4FBA">
            <w:pPr>
              <w:keepNext/>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Osobní vozidla</w:t>
            </w:r>
          </w:p>
        </w:tc>
        <w:tc>
          <w:tcPr>
            <w:tcW w:w="126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4 172 125 710</w:t>
            </w:r>
          </w:p>
        </w:tc>
        <w:tc>
          <w:tcPr>
            <w:tcW w:w="1180" w:type="dxa"/>
            <w:tcBorders>
              <w:top w:val="nil"/>
              <w:left w:val="nil"/>
              <w:bottom w:val="nil"/>
              <w:right w:val="single" w:sz="4" w:space="0" w:color="auto"/>
            </w:tcBorders>
            <w:shd w:val="clear" w:color="auto" w:fill="auto"/>
            <w:noWrap/>
            <w:vAlign w:val="center"/>
            <w:hideMark/>
          </w:tcPr>
          <w:p w:rsidR="00FF7D35" w:rsidRPr="00B54A1B" w:rsidRDefault="00FF7D35" w:rsidP="009C4FBA">
            <w:pPr>
              <w:jc w:val="right"/>
              <w:rPr>
                <w:rFonts w:ascii="Verdana" w:eastAsia="Times New Roman" w:hAnsi="Verdana" w:cs="Calibri"/>
                <w:color w:val="000000"/>
                <w:sz w:val="14"/>
                <w:szCs w:val="14"/>
                <w:lang w:eastAsia="cs-CZ"/>
              </w:rPr>
            </w:pPr>
            <w:r w:rsidRPr="00B54A1B">
              <w:rPr>
                <w:rFonts w:ascii="Verdana" w:eastAsia="Times New Roman" w:hAnsi="Verdana" w:cs="Calibri"/>
                <w:color w:val="000000"/>
                <w:sz w:val="14"/>
                <w:szCs w:val="14"/>
                <w:lang w:eastAsia="cs-CZ"/>
              </w:rPr>
              <w:t>79 964 790</w:t>
            </w:r>
          </w:p>
        </w:tc>
        <w:tc>
          <w:tcPr>
            <w:tcW w:w="1300" w:type="dxa"/>
            <w:tcBorders>
              <w:top w:val="nil"/>
              <w:left w:val="nil"/>
              <w:bottom w:val="nil"/>
              <w:right w:val="single" w:sz="4" w:space="0" w:color="auto"/>
            </w:tcBorders>
            <w:shd w:val="clear" w:color="auto" w:fill="auto"/>
            <w:noWrap/>
            <w:vAlign w:val="center"/>
            <w:hideMark/>
          </w:tcPr>
          <w:p w:rsidR="00FF7D35" w:rsidRPr="00912B72" w:rsidRDefault="00FF7D35" w:rsidP="009C4FBA">
            <w:pPr>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5 872 263 423</w:t>
            </w:r>
          </w:p>
        </w:tc>
        <w:tc>
          <w:tcPr>
            <w:tcW w:w="1340" w:type="dxa"/>
            <w:tcBorders>
              <w:top w:val="nil"/>
              <w:left w:val="nil"/>
              <w:bottom w:val="nil"/>
              <w:right w:val="single" w:sz="8" w:space="0" w:color="auto"/>
            </w:tcBorders>
            <w:shd w:val="clear" w:color="auto" w:fill="auto"/>
            <w:noWrap/>
            <w:vAlign w:val="center"/>
            <w:hideMark/>
          </w:tcPr>
          <w:p w:rsidR="00FF7D35" w:rsidRPr="00912B72" w:rsidRDefault="00FF7D35" w:rsidP="009C4FBA">
            <w:pPr>
              <w:keepNext/>
              <w:jc w:val="right"/>
              <w:rPr>
                <w:rFonts w:ascii="Verdana" w:eastAsia="Times New Roman" w:hAnsi="Verdana" w:cs="Calibri"/>
                <w:color w:val="000000"/>
                <w:sz w:val="14"/>
                <w:szCs w:val="14"/>
                <w:lang w:eastAsia="cs-CZ"/>
              </w:rPr>
            </w:pPr>
            <w:r w:rsidRPr="00912B72">
              <w:rPr>
                <w:rFonts w:ascii="Verdana" w:eastAsia="Times New Roman" w:hAnsi="Verdana" w:cs="Calibri"/>
                <w:color w:val="000000"/>
                <w:sz w:val="14"/>
                <w:szCs w:val="14"/>
                <w:lang w:eastAsia="cs-CZ"/>
              </w:rPr>
              <w:t>169 461 146</w:t>
            </w:r>
          </w:p>
        </w:tc>
      </w:tr>
      <w:tr w:rsidR="00FF7D35" w:rsidRPr="00D968DD" w:rsidTr="009C4FBA">
        <w:trPr>
          <w:trHeight w:val="210"/>
        </w:trPr>
        <w:tc>
          <w:tcPr>
            <w:tcW w:w="5660"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stávající cestující</w:t>
            </w:r>
          </w:p>
        </w:tc>
        <w:tc>
          <w:tcPr>
            <w:tcW w:w="1340" w:type="dxa"/>
            <w:tcBorders>
              <w:top w:val="single" w:sz="8" w:space="0" w:color="auto"/>
              <w:left w:val="nil"/>
              <w:bottom w:val="single" w:sz="4"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115 526 642</w:t>
            </w:r>
          </w:p>
        </w:tc>
      </w:tr>
      <w:tr w:rsidR="00FF7D35" w:rsidRPr="00D968DD" w:rsidTr="009C4FBA">
        <w:trPr>
          <w:trHeight w:val="210"/>
        </w:trPr>
        <w:tc>
          <w:tcPr>
            <w:tcW w:w="5660"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indukovaná</w:t>
            </w:r>
          </w:p>
        </w:tc>
        <w:tc>
          <w:tcPr>
            <w:tcW w:w="1340" w:type="dxa"/>
            <w:tcBorders>
              <w:top w:val="nil"/>
              <w:left w:val="nil"/>
              <w:bottom w:val="single" w:sz="4"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21 583</w:t>
            </w:r>
          </w:p>
        </w:tc>
      </w:tr>
      <w:tr w:rsidR="00FF7D35" w:rsidRPr="00D968DD" w:rsidTr="009C4FBA">
        <w:trPr>
          <w:trHeight w:val="225"/>
        </w:trPr>
        <w:tc>
          <w:tcPr>
            <w:tcW w:w="5660"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FF7D35" w:rsidRPr="00B236B7" w:rsidRDefault="00FF7D35" w:rsidP="009C4FBA">
            <w:pPr>
              <w:rPr>
                <w:rFonts w:ascii="Verdana" w:eastAsia="Times New Roman" w:hAnsi="Verdana" w:cs="Calibri"/>
                <w:color w:val="000000"/>
                <w:sz w:val="14"/>
                <w:szCs w:val="14"/>
                <w:lang w:eastAsia="cs-CZ"/>
              </w:rPr>
            </w:pPr>
            <w:r w:rsidRPr="00B236B7">
              <w:rPr>
                <w:rFonts w:ascii="Verdana" w:eastAsia="Times New Roman" w:hAnsi="Verdana" w:cs="Calibri"/>
                <w:color w:val="000000"/>
                <w:sz w:val="14"/>
                <w:szCs w:val="14"/>
                <w:lang w:eastAsia="cs-CZ"/>
              </w:rPr>
              <w:t>VHD - převedená z IAD</w:t>
            </w:r>
          </w:p>
        </w:tc>
        <w:tc>
          <w:tcPr>
            <w:tcW w:w="1340" w:type="dxa"/>
            <w:tcBorders>
              <w:top w:val="nil"/>
              <w:left w:val="nil"/>
              <w:bottom w:val="single" w:sz="8" w:space="0" w:color="auto"/>
              <w:right w:val="single" w:sz="8" w:space="0" w:color="auto"/>
            </w:tcBorders>
            <w:shd w:val="clear" w:color="auto" w:fill="auto"/>
            <w:noWrap/>
            <w:vAlign w:val="center"/>
            <w:hideMark/>
          </w:tcPr>
          <w:p w:rsidR="00FF7D35" w:rsidRPr="00C06F24" w:rsidRDefault="00FF7D35" w:rsidP="009C4FBA">
            <w:pPr>
              <w:jc w:val="right"/>
              <w:rPr>
                <w:rFonts w:ascii="Verdana" w:eastAsia="Times New Roman" w:hAnsi="Verdana" w:cs="Calibri"/>
                <w:color w:val="000000"/>
                <w:sz w:val="14"/>
                <w:szCs w:val="14"/>
                <w:lang w:eastAsia="cs-CZ"/>
              </w:rPr>
            </w:pPr>
            <w:r w:rsidRPr="00C06F24">
              <w:rPr>
                <w:rFonts w:ascii="Verdana" w:eastAsia="Times New Roman" w:hAnsi="Verdana" w:cs="Calibri"/>
                <w:color w:val="000000"/>
                <w:sz w:val="14"/>
                <w:szCs w:val="14"/>
                <w:lang w:eastAsia="cs-CZ"/>
              </w:rPr>
              <w:t>2 036</w:t>
            </w:r>
          </w:p>
        </w:tc>
      </w:tr>
    </w:tbl>
    <w:p w:rsidR="0033475A" w:rsidRDefault="0033475A" w:rsidP="00FF7D35"/>
    <w:p w:rsidR="00FF7D35" w:rsidRDefault="00FF7D35" w:rsidP="00FF7D35">
      <w:r>
        <w:t>Výkony nákladní železniční dopravy jsou porovnány v následující tabulce a grafu. Pokud nedojde k navýšení kapacity Uzlu Ostrava, dojde ke stagnaci, respektive poklesu výkonů železniční nákladní dopravy.</w:t>
      </w:r>
    </w:p>
    <w:p w:rsidR="0033475A" w:rsidRDefault="0033475A" w:rsidP="0033475A">
      <w:pPr>
        <w:pStyle w:val="Titulek"/>
        <w:keepNext/>
      </w:pPr>
      <w:r>
        <w:t xml:space="preserve">Tabulka </w:t>
      </w:r>
      <w:r w:rsidR="00115166">
        <w:rPr>
          <w:noProof/>
        </w:rPr>
        <w:fldChar w:fldCharType="begin"/>
      </w:r>
      <w:r w:rsidR="00115166">
        <w:rPr>
          <w:noProof/>
        </w:rPr>
        <w:instrText xml:space="preserve"> SEQ Tabulka \* ARABIC </w:instrText>
      </w:r>
      <w:r w:rsidR="00115166">
        <w:rPr>
          <w:noProof/>
        </w:rPr>
        <w:fldChar w:fldCharType="separate"/>
      </w:r>
      <w:r w:rsidR="00EF042C">
        <w:rPr>
          <w:noProof/>
        </w:rPr>
        <w:t>11</w:t>
      </w:r>
      <w:r w:rsidR="00115166">
        <w:rPr>
          <w:noProof/>
        </w:rPr>
        <w:fldChar w:fldCharType="end"/>
      </w:r>
      <w:r>
        <w:t xml:space="preserve"> </w:t>
      </w:r>
      <w:r w:rsidRPr="00780977">
        <w:t>Výkony nákladní železniční dopravy (24 hodin)</w:t>
      </w:r>
    </w:p>
    <w:tbl>
      <w:tblPr>
        <w:tblW w:w="5502" w:type="dxa"/>
        <w:tblInd w:w="55" w:type="dxa"/>
        <w:tblCellMar>
          <w:left w:w="70" w:type="dxa"/>
          <w:right w:w="70" w:type="dxa"/>
        </w:tblCellMar>
        <w:tblLook w:val="04A0" w:firstRow="1" w:lastRow="0" w:firstColumn="1" w:lastColumn="0" w:noHBand="0" w:noVBand="1"/>
      </w:tblPr>
      <w:tblGrid>
        <w:gridCol w:w="2100"/>
        <w:gridCol w:w="1134"/>
        <w:gridCol w:w="1134"/>
        <w:gridCol w:w="1134"/>
      </w:tblGrid>
      <w:tr w:rsidR="00FF7D35" w:rsidRPr="00CD5FC3" w:rsidTr="009C4FBA">
        <w:trPr>
          <w:trHeight w:val="300"/>
          <w:tblHeader/>
        </w:trPr>
        <w:tc>
          <w:tcPr>
            <w:tcW w:w="2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F7D35" w:rsidRPr="00CD5FC3" w:rsidRDefault="00FF7D35" w:rsidP="009C4FBA">
            <w:pPr>
              <w:keepNext/>
              <w:jc w:val="center"/>
              <w:rPr>
                <w:rFonts w:asciiTheme="majorHAnsi" w:eastAsia="Times New Roman" w:hAnsiTheme="majorHAnsi" w:cs="Calibri"/>
                <w:b/>
                <w:color w:val="000000"/>
                <w:sz w:val="16"/>
                <w:szCs w:val="16"/>
                <w:lang w:eastAsia="cs-CZ"/>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CD5FC3" w:rsidRDefault="00FF7D35" w:rsidP="009C4FBA">
            <w:pPr>
              <w:keepNext/>
              <w:jc w:val="center"/>
              <w:rPr>
                <w:rFonts w:asciiTheme="majorHAnsi" w:eastAsia="Times New Roman" w:hAnsiTheme="majorHAnsi" w:cs="Calibri"/>
                <w:b/>
                <w:color w:val="000000"/>
                <w:sz w:val="16"/>
                <w:szCs w:val="16"/>
                <w:lang w:eastAsia="cs-CZ"/>
              </w:rPr>
            </w:pPr>
            <w:r w:rsidRPr="00CD5FC3">
              <w:rPr>
                <w:rFonts w:asciiTheme="majorHAnsi" w:eastAsia="Times New Roman" w:hAnsiTheme="majorHAnsi" w:cs="Calibri"/>
                <w:b/>
                <w:color w:val="000000"/>
                <w:sz w:val="16"/>
                <w:szCs w:val="16"/>
                <w:lang w:eastAsia="cs-CZ"/>
              </w:rPr>
              <w:t>tunokm</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CD5FC3" w:rsidRDefault="00FF7D35" w:rsidP="009C4FBA">
            <w:pPr>
              <w:keepNext/>
              <w:jc w:val="center"/>
              <w:rPr>
                <w:rFonts w:asciiTheme="majorHAnsi" w:eastAsia="Times New Roman" w:hAnsiTheme="majorHAnsi" w:cs="Calibri"/>
                <w:b/>
                <w:color w:val="000000"/>
                <w:sz w:val="16"/>
                <w:szCs w:val="16"/>
                <w:lang w:eastAsia="cs-CZ"/>
              </w:rPr>
            </w:pPr>
            <w:r w:rsidRPr="00CD5FC3">
              <w:rPr>
                <w:rFonts w:asciiTheme="majorHAnsi" w:eastAsia="Times New Roman" w:hAnsiTheme="majorHAnsi" w:cs="Calibri"/>
                <w:b/>
                <w:color w:val="000000"/>
                <w:sz w:val="16"/>
                <w:szCs w:val="16"/>
                <w:lang w:eastAsia="cs-CZ"/>
              </w:rPr>
              <w:t>vlakokm</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F7D35" w:rsidRPr="00CD5FC3" w:rsidRDefault="00FF7D35" w:rsidP="009C4FBA">
            <w:pPr>
              <w:keepNext/>
              <w:jc w:val="center"/>
              <w:rPr>
                <w:rFonts w:asciiTheme="majorHAnsi" w:eastAsia="Times New Roman" w:hAnsiTheme="majorHAnsi" w:cs="Calibri"/>
                <w:b/>
                <w:color w:val="000000"/>
                <w:sz w:val="16"/>
                <w:szCs w:val="16"/>
                <w:lang w:eastAsia="cs-CZ"/>
              </w:rPr>
            </w:pPr>
            <w:r w:rsidRPr="00CD5FC3">
              <w:rPr>
                <w:rFonts w:asciiTheme="majorHAnsi" w:eastAsia="Times New Roman" w:hAnsiTheme="majorHAnsi" w:cs="Calibri"/>
                <w:b/>
                <w:color w:val="000000"/>
                <w:sz w:val="16"/>
                <w:szCs w:val="16"/>
                <w:lang w:eastAsia="cs-CZ"/>
              </w:rPr>
              <w:t>vlakohod</w:t>
            </w:r>
          </w:p>
        </w:tc>
      </w:tr>
      <w:tr w:rsidR="00FF7D35" w:rsidRPr="00CD5FC3" w:rsidTr="009C4FBA">
        <w:trPr>
          <w:trHeight w:val="30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F7D35" w:rsidRPr="00CD5FC3" w:rsidRDefault="00FF7D35" w:rsidP="009C4FBA">
            <w:pPr>
              <w:keepNext/>
              <w:rPr>
                <w:rFonts w:asciiTheme="majorHAnsi" w:eastAsia="Times New Roman" w:hAnsiTheme="majorHAnsi" w:cs="Calibri"/>
                <w:color w:val="000000"/>
                <w:sz w:val="16"/>
                <w:szCs w:val="16"/>
                <w:lang w:eastAsia="cs-CZ"/>
              </w:rPr>
            </w:pPr>
            <w:r>
              <w:rPr>
                <w:rFonts w:asciiTheme="majorHAnsi" w:eastAsia="Times New Roman" w:hAnsiTheme="majorHAnsi" w:cs="Calibri"/>
                <w:color w:val="000000"/>
                <w:sz w:val="16"/>
                <w:szCs w:val="16"/>
                <w:lang w:eastAsia="cs-CZ"/>
              </w:rPr>
              <w:t>2021 bez projektu</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2 193 484</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4 387</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74</w:t>
            </w:r>
          </w:p>
        </w:tc>
      </w:tr>
      <w:tr w:rsidR="00FF7D35" w:rsidRPr="00CD5FC3" w:rsidTr="009C4FBA">
        <w:trPr>
          <w:trHeight w:val="30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F7D35" w:rsidRPr="00CD5FC3" w:rsidRDefault="00FF7D35" w:rsidP="009C4FBA">
            <w:pPr>
              <w:keepNext/>
              <w:rPr>
                <w:rFonts w:asciiTheme="majorHAnsi" w:eastAsia="Times New Roman" w:hAnsiTheme="majorHAnsi" w:cs="Calibri"/>
                <w:color w:val="000000"/>
                <w:sz w:val="16"/>
                <w:szCs w:val="16"/>
                <w:lang w:eastAsia="cs-CZ"/>
              </w:rPr>
            </w:pPr>
            <w:r>
              <w:rPr>
                <w:rFonts w:asciiTheme="majorHAnsi" w:eastAsia="Times New Roman" w:hAnsiTheme="majorHAnsi" w:cs="Calibri"/>
                <w:color w:val="000000"/>
                <w:sz w:val="16"/>
                <w:szCs w:val="16"/>
                <w:lang w:eastAsia="cs-CZ"/>
              </w:rPr>
              <w:t>2025 bez projektu</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2 135 271</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4 271</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72</w:t>
            </w:r>
          </w:p>
        </w:tc>
      </w:tr>
      <w:tr w:rsidR="00FF7D35" w:rsidRPr="00CD5FC3" w:rsidTr="009C4FBA">
        <w:trPr>
          <w:trHeight w:val="30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F7D35" w:rsidRPr="00CD5FC3" w:rsidRDefault="00FF7D35" w:rsidP="009C4FBA">
            <w:pPr>
              <w:keepNext/>
              <w:rPr>
                <w:rFonts w:asciiTheme="majorHAnsi" w:eastAsia="Times New Roman" w:hAnsiTheme="majorHAnsi" w:cs="Calibri"/>
                <w:color w:val="000000"/>
                <w:sz w:val="16"/>
                <w:szCs w:val="16"/>
                <w:lang w:eastAsia="cs-CZ"/>
              </w:rPr>
            </w:pPr>
            <w:r>
              <w:rPr>
                <w:rFonts w:asciiTheme="majorHAnsi" w:eastAsia="Times New Roman" w:hAnsiTheme="majorHAnsi" w:cs="Calibri"/>
                <w:color w:val="000000"/>
                <w:sz w:val="16"/>
                <w:szCs w:val="16"/>
                <w:lang w:eastAsia="cs-CZ"/>
              </w:rPr>
              <w:t>2025 s projektem</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2 628 518</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5 257</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83</w:t>
            </w:r>
          </w:p>
        </w:tc>
      </w:tr>
      <w:tr w:rsidR="00FF7D35" w:rsidRPr="00CD5FC3" w:rsidTr="009C4FBA">
        <w:trPr>
          <w:trHeight w:val="30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F7D35" w:rsidRPr="00CD5FC3" w:rsidRDefault="00FF7D35" w:rsidP="009C4FBA">
            <w:pPr>
              <w:keepNext/>
              <w:rPr>
                <w:rFonts w:asciiTheme="majorHAnsi" w:eastAsia="Times New Roman" w:hAnsiTheme="majorHAnsi" w:cs="Calibri"/>
                <w:color w:val="000000"/>
                <w:sz w:val="16"/>
                <w:szCs w:val="16"/>
                <w:lang w:eastAsia="cs-CZ"/>
              </w:rPr>
            </w:pPr>
            <w:r>
              <w:rPr>
                <w:rFonts w:asciiTheme="majorHAnsi" w:eastAsia="Times New Roman" w:hAnsiTheme="majorHAnsi" w:cs="Calibri"/>
                <w:color w:val="000000"/>
                <w:sz w:val="16"/>
                <w:szCs w:val="16"/>
                <w:lang w:eastAsia="cs-CZ"/>
              </w:rPr>
              <w:t>2055 bez projektu</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2 071 865</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4 144</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keepNext/>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69</w:t>
            </w:r>
          </w:p>
        </w:tc>
      </w:tr>
      <w:tr w:rsidR="00FF7D35" w:rsidRPr="00CD5FC3" w:rsidTr="009C4FBA">
        <w:trPr>
          <w:trHeight w:val="30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F7D35" w:rsidRPr="00CD5FC3" w:rsidRDefault="00FF7D35" w:rsidP="009C4FBA">
            <w:pPr>
              <w:rPr>
                <w:rFonts w:asciiTheme="majorHAnsi" w:eastAsia="Times New Roman" w:hAnsiTheme="majorHAnsi" w:cs="Calibri"/>
                <w:color w:val="000000"/>
                <w:sz w:val="16"/>
                <w:szCs w:val="16"/>
                <w:lang w:eastAsia="cs-CZ"/>
              </w:rPr>
            </w:pPr>
            <w:r>
              <w:rPr>
                <w:rFonts w:asciiTheme="majorHAnsi" w:eastAsia="Times New Roman" w:hAnsiTheme="majorHAnsi" w:cs="Calibri"/>
                <w:color w:val="000000"/>
                <w:sz w:val="16"/>
                <w:szCs w:val="16"/>
                <w:lang w:eastAsia="cs-CZ"/>
              </w:rPr>
              <w:t>2055 s projektem</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2 939 610</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5 879</w:t>
            </w:r>
          </w:p>
        </w:tc>
        <w:tc>
          <w:tcPr>
            <w:tcW w:w="1134" w:type="dxa"/>
            <w:tcBorders>
              <w:top w:val="nil"/>
              <w:left w:val="nil"/>
              <w:bottom w:val="single" w:sz="4" w:space="0" w:color="auto"/>
              <w:right w:val="single" w:sz="4" w:space="0" w:color="auto"/>
            </w:tcBorders>
            <w:shd w:val="clear" w:color="auto" w:fill="auto"/>
            <w:noWrap/>
            <w:vAlign w:val="center"/>
            <w:hideMark/>
          </w:tcPr>
          <w:p w:rsidR="00FF7D35" w:rsidRPr="00CD5FC3" w:rsidRDefault="00FF7D35" w:rsidP="009C4FBA">
            <w:pPr>
              <w:jc w:val="center"/>
              <w:rPr>
                <w:rFonts w:asciiTheme="majorHAnsi" w:eastAsia="Times New Roman" w:hAnsiTheme="majorHAnsi" w:cs="Calibri"/>
                <w:color w:val="000000"/>
                <w:sz w:val="16"/>
                <w:szCs w:val="16"/>
                <w:lang w:eastAsia="cs-CZ"/>
              </w:rPr>
            </w:pPr>
            <w:r w:rsidRPr="00CD5FC3">
              <w:rPr>
                <w:rFonts w:asciiTheme="majorHAnsi" w:eastAsia="Times New Roman" w:hAnsiTheme="majorHAnsi" w:cs="Calibri"/>
                <w:color w:val="000000"/>
                <w:sz w:val="16"/>
                <w:szCs w:val="16"/>
                <w:lang w:eastAsia="cs-CZ"/>
              </w:rPr>
              <w:t>91</w:t>
            </w:r>
          </w:p>
        </w:tc>
      </w:tr>
    </w:tbl>
    <w:p w:rsidR="0033475A" w:rsidRDefault="0033475A" w:rsidP="0033475A">
      <w:pPr>
        <w:pStyle w:val="Titulek"/>
        <w:keepNext/>
      </w:pPr>
      <w:r>
        <w:t xml:space="preserve">Graf </w:t>
      </w:r>
      <w:r w:rsidR="00115166">
        <w:rPr>
          <w:noProof/>
        </w:rPr>
        <w:fldChar w:fldCharType="begin"/>
      </w:r>
      <w:r w:rsidR="00115166">
        <w:rPr>
          <w:noProof/>
        </w:rPr>
        <w:instrText xml:space="preserve"> SEQ Graf \* ARABIC </w:instrText>
      </w:r>
      <w:r w:rsidR="00115166">
        <w:rPr>
          <w:noProof/>
        </w:rPr>
        <w:fldChar w:fldCharType="separate"/>
      </w:r>
      <w:r w:rsidR="00EF042C">
        <w:rPr>
          <w:noProof/>
        </w:rPr>
        <w:t>1</w:t>
      </w:r>
      <w:r w:rsidR="00115166">
        <w:rPr>
          <w:noProof/>
        </w:rPr>
        <w:fldChar w:fldCharType="end"/>
      </w:r>
      <w:r>
        <w:t xml:space="preserve"> </w:t>
      </w:r>
      <w:r w:rsidRPr="000401DB">
        <w:t>Výkony nákladní železniční dopravy (24 hodin)</w:t>
      </w:r>
    </w:p>
    <w:p w:rsidR="00FF7D35" w:rsidRPr="003F32AA" w:rsidRDefault="00FF7D35" w:rsidP="00FF7D35">
      <w:r>
        <w:rPr>
          <w:noProof/>
          <w:lang w:eastAsia="cs-CZ"/>
        </w:rPr>
        <w:drawing>
          <wp:inline distT="0" distB="0" distL="0" distR="0" wp14:anchorId="2F2987E0" wp14:editId="674E7217">
            <wp:extent cx="5039360" cy="2939415"/>
            <wp:effectExtent l="0" t="0" r="27940" b="13335"/>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475A" w:rsidRDefault="0033475A" w:rsidP="00FF7D35">
      <w:r>
        <w:br w:type="page"/>
      </w:r>
    </w:p>
    <w:p w:rsidR="002C42CB" w:rsidRDefault="002C42CB" w:rsidP="002C42CB">
      <w:pPr>
        <w:pStyle w:val="Nadpis1"/>
      </w:pPr>
      <w:bookmarkStart w:id="39" w:name="_Toc40186590"/>
      <w:r>
        <w:lastRenderedPageBreak/>
        <w:t>Metodika ekonomického hodnocení – analýza CBA</w:t>
      </w:r>
      <w:bookmarkEnd w:id="33"/>
      <w:bookmarkEnd w:id="39"/>
    </w:p>
    <w:p w:rsidR="002C42CB" w:rsidRDefault="002C42CB" w:rsidP="002C42CB">
      <w:r>
        <w:t>Analýza nákladů a přínosů (cost-benefit analysis - CBA) je analytický nástroj pro posuzování ekonomických výhod nebo nevýhod investičních rozhodnutí na základě posouzení jejich nákladů a přínosů s cílem vyhodnotit jejich přínos ke změně úrovně blahobytu.</w:t>
      </w:r>
    </w:p>
    <w:p w:rsidR="002C42CB" w:rsidRDefault="002C42CB" w:rsidP="002C42CB">
      <w:r>
        <w:t xml:space="preserve">Metoda CBA je používána pro hodnocení rozličných projektů, zejména pak projektů financovaných z veřejných zdrojů. Důvodem je její variabilita a schopnost do analýz započítat i širokou škálu celospolečenských přínosů/nákladů investic. </w:t>
      </w:r>
    </w:p>
    <w:p w:rsidR="002C42CB" w:rsidRDefault="002C42CB" w:rsidP="002C42CB">
      <w:r>
        <w:t>CBA posuzuje stavbu v dlouhodobém horizontu, u železničních staveb trvá hodnotící období 30 let a zahrnuje realizační fázi stavby a provozní fázi.</w:t>
      </w:r>
    </w:p>
    <w:p w:rsidR="002C42CB" w:rsidRDefault="002C42CB" w:rsidP="002C42CB">
      <w:r>
        <w:t xml:space="preserve">V rámci CBA se vždy posuzují rozdíly mezi projektovou variantou a variantou bez projektu, rozdíl mezi oběma variantami pak definuje přínos projektové varianty, ten může být kladný i záporný. Jedná se o tzv. Přírůstkový přístup, který vychází z těchto principů: </w:t>
      </w:r>
    </w:p>
    <w:p w:rsidR="002C42CB" w:rsidRDefault="002C42CB" w:rsidP="00FF7D35">
      <w:pPr>
        <w:pStyle w:val="Odstavecseseznamem"/>
        <w:numPr>
          <w:ilvl w:val="0"/>
          <w:numId w:val="7"/>
        </w:numPr>
      </w:pPr>
      <w:r>
        <w:t xml:space="preserve">varianta bez projektu musí popsat, co by se stalo v případě neexistence projektu. V tomto scénáři jsou vypracovány odhady všech peněžních toků souvisejících s operacemi v rámci projektu za každý rok během trvání projektu. V případě investic zaměřených na zlepšení stávajícího aktiva by měl zahrnovat náklady a výnosy/přínosy při provozování a udržování služby na úrovni, která je stále funkční, nebo dokonce malé adaptační investice, které by se uskutečnily v každém případě. Pokud se jako srovnávací scénář použijí minimální změny, mělo by se jednat o proveditelný a věrohodný scénář, který nepovede k nepřiměřeným a nerealistickým dodatečným přínosům a nákladům; </w:t>
      </w:r>
    </w:p>
    <w:p w:rsidR="002C42CB" w:rsidRDefault="002C42CB" w:rsidP="00FF7D35">
      <w:pPr>
        <w:pStyle w:val="Odstavecseseznamem"/>
        <w:numPr>
          <w:ilvl w:val="0"/>
          <w:numId w:val="7"/>
        </w:numPr>
      </w:pPr>
      <w:r>
        <w:t xml:space="preserve">varianta s projektem zahrnuje peněžní toky pro situace s navrženým projektem. Jsou zde zohledněny všechny investice, finanční a ekonomické náklady a přínosy plynoucí z projektu. </w:t>
      </w:r>
    </w:p>
    <w:p w:rsidR="002C42CB" w:rsidRDefault="002C42CB" w:rsidP="00FF7D35">
      <w:pPr>
        <w:pStyle w:val="Odstavecseseznamem"/>
        <w:numPr>
          <w:ilvl w:val="0"/>
          <w:numId w:val="7"/>
        </w:numPr>
      </w:pPr>
      <w:r>
        <w:t xml:space="preserve">analýza nákladů a přínosů zohledňuje pouze rozdíl mezi peněžními toky ve scénáři s projektem a peněžními toky ve srovnávacím scénáři. Finanční a ekonomické ukazatele výkonnosti se počítají pouze na základě přírůstku peněžních toků. </w:t>
      </w:r>
    </w:p>
    <w:p w:rsidR="002C42CB" w:rsidRDefault="002C42CB" w:rsidP="002C42CB">
      <w:r>
        <w:t xml:space="preserve">Rozdílové peněžní toky v jednotlivých letech hodnotícího období utvářejí projektové cash flow. Záporný tok znamená náklad pro investora projektu či společnost, kladný peněžní tok pak zisk, či úsporu nákladů investora či společnosti. Tyto hodnoty jsou diskontovány a poté sečteny s cílem vypočíst čistý celkový přínos. Celková výkonnost projektu se měří ukazateli, a to ekonomickou čistou současnou hodnotou (ENPV – Economic Net Present Value), vyjádřenou v penězích, ekonomickou mírou návratnosti (ERR – Economic Rate of Return) a poměrem přínosů a nákladů (BCR – benefit  cost ratio), což umožňuje konkurenční projekty nebo alternativy porovnat a seřadit. </w:t>
      </w:r>
    </w:p>
    <w:p w:rsidR="002C42CB" w:rsidRDefault="002C42CB" w:rsidP="002C42CB">
      <w:r>
        <w:t xml:space="preserve">Analýza nákladů a přínosů tak umožňuje posouzení vlivu projektu na společnost jako celek prostřednictvím výpočtu ukazatelů ekonomické výkonnosti, čímž dojde k posouzení očekávané změny úrovně blahobytu. </w:t>
      </w:r>
    </w:p>
    <w:p w:rsidR="002C42CB" w:rsidRDefault="002C42CB" w:rsidP="002C42CB">
      <w:pPr>
        <w:pStyle w:val="Nadpis2"/>
      </w:pPr>
      <w:bookmarkStart w:id="40" w:name="_Toc24713954"/>
      <w:bookmarkStart w:id="41" w:name="_Toc40186591"/>
      <w:bookmarkStart w:id="42" w:name="_Toc481053046"/>
      <w:r>
        <w:t xml:space="preserve">Ekonomické hodnocení SP </w:t>
      </w:r>
      <w:bookmarkEnd w:id="40"/>
      <w:r w:rsidRPr="002C42CB">
        <w:t>železničního uzlu Ostrava 2015</w:t>
      </w:r>
      <w:bookmarkEnd w:id="41"/>
    </w:p>
    <w:p w:rsidR="002C42CB" w:rsidRDefault="002C42CB" w:rsidP="002C42CB">
      <w:pPr>
        <w:autoSpaceDE w:val="0"/>
        <w:autoSpaceDN w:val="0"/>
        <w:adjustRightInd w:val="0"/>
        <w:spacing w:after="0"/>
      </w:pPr>
      <w:r>
        <w:t xml:space="preserve">Ekonomické hodnocení bylo zpracováno jako součást Studie proveditelnosti </w:t>
      </w:r>
      <w:r w:rsidRPr="002C42CB">
        <w:t>železničního uzlu Ostrava 2015</w:t>
      </w:r>
      <w:r>
        <w:t xml:space="preserve"> a tvořilo samostatnou část dokumentace č. 5. </w:t>
      </w:r>
    </w:p>
    <w:p w:rsidR="002C42CB" w:rsidRDefault="002C42CB" w:rsidP="002C42CB">
      <w:pPr>
        <w:autoSpaceDE w:val="0"/>
        <w:autoSpaceDN w:val="0"/>
        <w:adjustRightInd w:val="0"/>
        <w:spacing w:after="0"/>
      </w:pPr>
      <w:r>
        <w:t>Stavba byla hodnocena metodou analýzy nákladů a přínosů v několika variantách. Ekonomické hodnocení vycházelo metodicky z Prováděcích pokynů pro hodnocení efektivnosti investic projektů železniční infrastruktury, uveřejněných ve Věstníku dopravy č.11/2013 dne 22. 5. 2013 (dále jen Prováděcí pokyny). Délka hodnotícího období varianty činila 3</w:t>
      </w:r>
      <w:r w:rsidR="00536453">
        <w:t>4</w:t>
      </w:r>
      <w:r>
        <w:t xml:space="preserve"> let, výchozí cenová úroveň byla 20</w:t>
      </w:r>
      <w:r w:rsidR="00536453">
        <w:t>2</w:t>
      </w:r>
      <w:r w:rsidR="007A18CD">
        <w:t>1</w:t>
      </w:r>
      <w:r>
        <w:t xml:space="preserve">. </w:t>
      </w:r>
    </w:p>
    <w:p w:rsidR="002C42CB" w:rsidRDefault="002C42CB" w:rsidP="002C42CB">
      <w:pPr>
        <w:pStyle w:val="Nadpis2"/>
      </w:pPr>
      <w:bookmarkStart w:id="43" w:name="_Toc24713955"/>
      <w:bookmarkStart w:id="44" w:name="_Toc40186592"/>
      <w:r>
        <w:t>Definice základních pojmů</w:t>
      </w:r>
      <w:bookmarkEnd w:id="42"/>
      <w:bookmarkEnd w:id="43"/>
      <w:bookmarkEnd w:id="44"/>
    </w:p>
    <w:p w:rsidR="002C42CB" w:rsidRDefault="002C42CB" w:rsidP="002C42CB">
      <w:pPr>
        <w:pStyle w:val="Nadpis3"/>
      </w:pPr>
      <w:bookmarkStart w:id="45" w:name="_Toc24713956"/>
      <w:bookmarkStart w:id="46" w:name="_Toc481053047"/>
      <w:bookmarkStart w:id="47" w:name="_Toc40186593"/>
      <w:r>
        <w:t>Stanovení referenčního období</w:t>
      </w:r>
      <w:bookmarkEnd w:id="45"/>
      <w:bookmarkEnd w:id="46"/>
      <w:bookmarkEnd w:id="47"/>
    </w:p>
    <w:p w:rsidR="002C42CB" w:rsidRPr="007A18CD" w:rsidRDefault="002C42CB" w:rsidP="002C42CB">
      <w:r>
        <w:t xml:space="preserve">Základní délka hodnotícího období, je stanovena na 30 let pro železniční i silniční projekty (podle přílohy I Nařízení Komise v </w:t>
      </w:r>
      <w:r w:rsidRPr="007A18CD">
        <w:t>přenesené pravomoci (EU) č. 480/2014 ze dne 3. března 2014).</w:t>
      </w:r>
    </w:p>
    <w:p w:rsidR="002C42CB" w:rsidRDefault="002C42CB" w:rsidP="002C42CB">
      <w:r w:rsidRPr="007A18CD">
        <w:lastRenderedPageBreak/>
        <w:t>Toto období zahrnuje jak investiční (</w:t>
      </w:r>
      <w:r w:rsidR="007A18CD" w:rsidRPr="007A18CD">
        <w:t>7</w:t>
      </w:r>
      <w:r w:rsidRPr="007A18CD">
        <w:t xml:space="preserve"> let) tak provozní fázi projektu. Investiční fáze zahrnuje pouze časové období vlastní realizace (výstavby) projektu, </w:t>
      </w:r>
      <w:r>
        <w:t xml:space="preserve">nikoliv fázi inženýrské a projektové přípravy projektu. Náklady spojené s projekční a inženýrskou činností (včetně výkupů pozemků) jsou vyjádřeny ve stálých cenách a jsou přičteny k nákladům realizační fáze. </w:t>
      </w:r>
    </w:p>
    <w:p w:rsidR="002C42CB" w:rsidRDefault="002C42CB" w:rsidP="002C42CB">
      <w:pPr>
        <w:rPr>
          <w:u w:val="single"/>
        </w:rPr>
      </w:pPr>
      <w:r>
        <w:rPr>
          <w:u w:val="single"/>
        </w:rPr>
        <w:t xml:space="preserve">Oproti EH zpracovanému v rámci SP dojde ke zkrácení hodnotícího období o </w:t>
      </w:r>
      <w:r w:rsidR="00536453">
        <w:rPr>
          <w:u w:val="single"/>
        </w:rPr>
        <w:t>4 roky</w:t>
      </w:r>
      <w:r>
        <w:rPr>
          <w:u w:val="single"/>
        </w:rPr>
        <w:t>, vzhledem k tomu, že metodické pokyny z roku 2013 umožňovaly stanovit referenční období na 30 let + dobu výstavby pro projekty realizované déle než 3 roky. V rámci SP tak byla délka hodnotícího období stanovena na 3</w:t>
      </w:r>
      <w:r w:rsidR="00536453">
        <w:rPr>
          <w:u w:val="single"/>
        </w:rPr>
        <w:t>4</w:t>
      </w:r>
      <w:r>
        <w:rPr>
          <w:u w:val="single"/>
        </w:rPr>
        <w:t xml:space="preserve"> let, dle </w:t>
      </w:r>
      <w:r w:rsidR="00536453">
        <w:rPr>
          <w:u w:val="single"/>
        </w:rPr>
        <w:t>4 roky</w:t>
      </w:r>
      <w:r>
        <w:rPr>
          <w:u w:val="single"/>
        </w:rPr>
        <w:t xml:space="preserve"> trvající výstavby varianty </w:t>
      </w:r>
      <w:r w:rsidR="00536453">
        <w:rPr>
          <w:u w:val="single"/>
        </w:rPr>
        <w:t>3</w:t>
      </w:r>
      <w:r>
        <w:rPr>
          <w:u w:val="single"/>
        </w:rPr>
        <w:t xml:space="preserve">. Současně s tím došlo k posunu začátku výstavby o </w:t>
      </w:r>
      <w:r w:rsidR="00536453">
        <w:rPr>
          <w:u w:val="single"/>
        </w:rPr>
        <w:t>4 roky</w:t>
      </w:r>
      <w:r>
        <w:rPr>
          <w:u w:val="single"/>
        </w:rPr>
        <w:t xml:space="preserve"> z roku 20</w:t>
      </w:r>
      <w:r w:rsidR="00536453">
        <w:rPr>
          <w:u w:val="single"/>
        </w:rPr>
        <w:t>21</w:t>
      </w:r>
      <w:r>
        <w:rPr>
          <w:u w:val="single"/>
        </w:rPr>
        <w:t xml:space="preserve"> do roku 202</w:t>
      </w:r>
      <w:r w:rsidR="00536453">
        <w:rPr>
          <w:u w:val="single"/>
        </w:rPr>
        <w:t>5</w:t>
      </w:r>
      <w:r>
        <w:rPr>
          <w:u w:val="single"/>
        </w:rPr>
        <w:t>.</w:t>
      </w:r>
    </w:p>
    <w:p w:rsidR="002C42CB" w:rsidRPr="00536453" w:rsidRDefault="002C42CB" w:rsidP="002C42CB">
      <w:pPr>
        <w:rPr>
          <w:u w:val="single"/>
        </w:rPr>
      </w:pPr>
      <w:r w:rsidRPr="00536453">
        <w:rPr>
          <w:u w:val="single"/>
        </w:rPr>
        <w:t>Dopravní model ve studii proveditelnosti uvažoval s dokončením stavby v roce 202</w:t>
      </w:r>
      <w:r w:rsidR="00536453">
        <w:rPr>
          <w:u w:val="single"/>
        </w:rPr>
        <w:t>4</w:t>
      </w:r>
      <w:r w:rsidRPr="00536453">
        <w:rPr>
          <w:u w:val="single"/>
        </w:rPr>
        <w:t>. Výstupy z dopravního modelu do ekonomického hodnocení ve formě množství uspořeného času a převedení cestujících byly uvažovány od roku 202</w:t>
      </w:r>
      <w:r w:rsidR="00536453">
        <w:rPr>
          <w:u w:val="single"/>
        </w:rPr>
        <w:t>5</w:t>
      </w:r>
      <w:r w:rsidRPr="00536453">
        <w:rPr>
          <w:u w:val="single"/>
        </w:rPr>
        <w:t xml:space="preserve">. Posun začátku realizace modernizace a změna termínu dokončení na rok </w:t>
      </w:r>
      <w:r w:rsidR="00104176" w:rsidRPr="00536453">
        <w:rPr>
          <w:u w:val="single"/>
        </w:rPr>
        <w:t>203</w:t>
      </w:r>
      <w:r w:rsidR="00104176">
        <w:rPr>
          <w:u w:val="single"/>
        </w:rPr>
        <w:t>1</w:t>
      </w:r>
      <w:r w:rsidRPr="00536453">
        <w:rPr>
          <w:u w:val="single"/>
        </w:rPr>
        <w:t xml:space="preserve"> znamená mimo jiné, že celospolečenské přínosy uvažované v letech </w:t>
      </w:r>
      <w:r w:rsidR="00104176" w:rsidRPr="00536453">
        <w:rPr>
          <w:u w:val="single"/>
        </w:rPr>
        <w:t>202</w:t>
      </w:r>
      <w:r w:rsidR="00104176">
        <w:rPr>
          <w:u w:val="single"/>
        </w:rPr>
        <w:t>5</w:t>
      </w:r>
      <w:r w:rsidR="00104176" w:rsidRPr="00536453">
        <w:rPr>
          <w:u w:val="single"/>
        </w:rPr>
        <w:t>-203</w:t>
      </w:r>
      <w:r w:rsidR="00104176">
        <w:rPr>
          <w:u w:val="single"/>
        </w:rPr>
        <w:t>1</w:t>
      </w:r>
      <w:r w:rsidR="00104176" w:rsidRPr="00536453">
        <w:rPr>
          <w:u w:val="single"/>
        </w:rPr>
        <w:t xml:space="preserve"> </w:t>
      </w:r>
      <w:r w:rsidRPr="00536453">
        <w:rPr>
          <w:u w:val="single"/>
        </w:rPr>
        <w:t xml:space="preserve">nenastanou. V rámci aktualizace jsou tyto přínosy zanedbány a je uvažováno pouze s přínosy v letech </w:t>
      </w:r>
      <w:r w:rsidR="00104176" w:rsidRPr="00536453">
        <w:rPr>
          <w:u w:val="single"/>
        </w:rPr>
        <w:t>203</w:t>
      </w:r>
      <w:r w:rsidR="00104176">
        <w:rPr>
          <w:u w:val="single"/>
        </w:rPr>
        <w:t>2</w:t>
      </w:r>
      <w:r w:rsidR="00104176" w:rsidRPr="00536453">
        <w:rPr>
          <w:u w:val="single"/>
        </w:rPr>
        <w:t>-205</w:t>
      </w:r>
      <w:r w:rsidR="00104176">
        <w:rPr>
          <w:u w:val="single"/>
        </w:rPr>
        <w:t>4</w:t>
      </w:r>
      <w:r w:rsidRPr="00536453">
        <w:rPr>
          <w:u w:val="single"/>
        </w:rPr>
        <w:t xml:space="preserve"> a to v nezměněné formě ze SP.</w:t>
      </w:r>
    </w:p>
    <w:p w:rsidR="002C42CB" w:rsidRDefault="002C42CB" w:rsidP="002C42CB">
      <w:pPr>
        <w:pStyle w:val="Nadpis3"/>
      </w:pPr>
      <w:bookmarkStart w:id="48" w:name="_Toc24713957"/>
      <w:bookmarkStart w:id="49" w:name="_Toc481053049"/>
      <w:bookmarkStart w:id="50" w:name="_Toc40186594"/>
      <w:r>
        <w:t>Cenová úroveň</w:t>
      </w:r>
      <w:bookmarkEnd w:id="48"/>
      <w:bookmarkEnd w:id="49"/>
      <w:bookmarkEnd w:id="50"/>
    </w:p>
    <w:p w:rsidR="002C42CB" w:rsidRDefault="002C42CB" w:rsidP="002C42CB">
      <w:r>
        <w:t>Ekonomické hodnocení je vypočteno za využití tzv. stálých (reálných) cen, tedy cen v cenové úrovni jednoho konkrétní roku, nezávisle na roku referenčního období. Výsledné ceny tedy zanedbávají inflaci v průběhu referenčního období.</w:t>
      </w:r>
    </w:p>
    <w:p w:rsidR="002C42CB" w:rsidRDefault="002C42CB" w:rsidP="002C42CB">
      <w:r>
        <w:t>Výchozí cenová úroveň (CÚ) je stanovena podle roku zpracování ekonomického hodnocení, kterým je rok 20</w:t>
      </w:r>
      <w:r w:rsidR="007A18CD">
        <w:t>20</w:t>
      </w:r>
      <w:r>
        <w:t>.</w:t>
      </w:r>
    </w:p>
    <w:p w:rsidR="002C42CB" w:rsidRDefault="002C42CB" w:rsidP="002C42CB">
      <w:r>
        <w:t xml:space="preserve">Všechny vstupy importované do ekonomického hodnocení jsou přepočteny na tuto cenovou úroveň. Pro převod mezi jednotlivými cenovými úrovněmi jsou použity koeficienty zveřejněné Metodických pokynech. </w:t>
      </w:r>
    </w:p>
    <w:p w:rsidR="002C42CB" w:rsidRDefault="002C42CB" w:rsidP="002C42CB">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12</w:t>
      </w:r>
      <w:r>
        <w:rPr>
          <w:noProof/>
        </w:rPr>
        <w:fldChar w:fldCharType="end"/>
      </w:r>
      <w:r>
        <w:t xml:space="preserve"> Vývoj inflace, růstu HDP na hlavu a růstu reálných mezd v ČR</w:t>
      </w:r>
    </w:p>
    <w:tbl>
      <w:tblPr>
        <w:tblW w:w="9163" w:type="dxa"/>
        <w:tblInd w:w="53" w:type="dxa"/>
        <w:tblCellMar>
          <w:left w:w="70" w:type="dxa"/>
          <w:right w:w="70" w:type="dxa"/>
        </w:tblCellMar>
        <w:tblLook w:val="04A0" w:firstRow="1" w:lastRow="0" w:firstColumn="1" w:lastColumn="0" w:noHBand="0" w:noVBand="1"/>
      </w:tblPr>
      <w:tblGrid>
        <w:gridCol w:w="1381"/>
        <w:gridCol w:w="780"/>
        <w:gridCol w:w="780"/>
        <w:gridCol w:w="779"/>
        <w:gridCol w:w="779"/>
        <w:gridCol w:w="779"/>
        <w:gridCol w:w="779"/>
        <w:gridCol w:w="779"/>
        <w:gridCol w:w="779"/>
        <w:gridCol w:w="737"/>
        <w:gridCol w:w="811"/>
      </w:tblGrid>
      <w:tr w:rsidR="002C42CB" w:rsidTr="002C42CB">
        <w:trPr>
          <w:trHeight w:val="310"/>
        </w:trPr>
        <w:tc>
          <w:tcPr>
            <w:tcW w:w="1381" w:type="dxa"/>
            <w:tcBorders>
              <w:top w:val="nil"/>
              <w:left w:val="nil"/>
              <w:bottom w:val="dotted" w:sz="4" w:space="0" w:color="auto"/>
              <w:right w:val="single" w:sz="8" w:space="0" w:color="auto"/>
            </w:tcBorders>
            <w:noWrap/>
            <w:vAlign w:val="bottom"/>
            <w:hideMark/>
          </w:tcPr>
          <w:p w:rsidR="002C42CB" w:rsidRDefault="002C42CB">
            <w:pPr>
              <w:spacing w:after="0" w:line="256" w:lineRule="auto"/>
              <w:rPr>
                <w:rFonts w:ascii="Arial" w:hAnsi="Arial" w:cs="Arial"/>
                <w:sz w:val="18"/>
                <w:szCs w:val="18"/>
                <w:lang w:eastAsia="cs-CZ"/>
              </w:rPr>
            </w:pPr>
            <w:r>
              <w:rPr>
                <w:rFonts w:ascii="Arial" w:hAnsi="Arial" w:cs="Arial"/>
                <w:sz w:val="18"/>
                <w:szCs w:val="18"/>
                <w:lang w:eastAsia="cs-CZ"/>
              </w:rPr>
              <w:t>Rok</w:t>
            </w:r>
          </w:p>
        </w:tc>
        <w:tc>
          <w:tcPr>
            <w:tcW w:w="780" w:type="dxa"/>
            <w:tcBorders>
              <w:top w:val="nil"/>
              <w:left w:val="nil"/>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2012</w:t>
            </w:r>
          </w:p>
        </w:tc>
        <w:tc>
          <w:tcPr>
            <w:tcW w:w="780"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2013</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2014</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2015</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2016</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2017</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2018</w:t>
            </w:r>
          </w:p>
        </w:tc>
        <w:tc>
          <w:tcPr>
            <w:tcW w:w="779"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2019</w:t>
            </w:r>
          </w:p>
        </w:tc>
        <w:tc>
          <w:tcPr>
            <w:tcW w:w="737"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2020</w:t>
            </w:r>
          </w:p>
        </w:tc>
        <w:tc>
          <w:tcPr>
            <w:tcW w:w="811" w:type="dxa"/>
            <w:tcBorders>
              <w:top w:val="nil"/>
              <w:left w:val="dotted" w:sz="4" w:space="0" w:color="auto"/>
              <w:bottom w:val="dotted" w:sz="4" w:space="0" w:color="auto"/>
              <w:right w:val="nil"/>
            </w:tcBorders>
            <w:vAlign w:val="bottom"/>
            <w:hideMark/>
          </w:tcPr>
          <w:p w:rsidR="002C42CB" w:rsidRDefault="002C42CB">
            <w:pPr>
              <w:spacing w:after="0" w:line="256" w:lineRule="auto"/>
              <w:jc w:val="center"/>
              <w:rPr>
                <w:rFonts w:ascii="Arial" w:hAnsi="Arial" w:cs="Arial"/>
                <w:sz w:val="18"/>
                <w:szCs w:val="18"/>
                <w:lang w:eastAsia="cs-CZ"/>
              </w:rPr>
            </w:pPr>
            <w:r>
              <w:rPr>
                <w:rFonts w:ascii="Arial" w:hAnsi="Arial" w:cs="Arial"/>
                <w:sz w:val="18"/>
                <w:szCs w:val="18"/>
                <w:lang w:eastAsia="cs-CZ"/>
              </w:rPr>
              <w:t>2020+</w:t>
            </w:r>
          </w:p>
        </w:tc>
      </w:tr>
      <w:tr w:rsidR="002C42CB" w:rsidTr="002C42CB">
        <w:trPr>
          <w:trHeight w:val="255"/>
        </w:trPr>
        <w:tc>
          <w:tcPr>
            <w:tcW w:w="1381" w:type="dxa"/>
            <w:tcBorders>
              <w:top w:val="nil"/>
              <w:left w:val="nil"/>
              <w:bottom w:val="nil"/>
              <w:right w:val="single" w:sz="8" w:space="0" w:color="auto"/>
            </w:tcBorders>
            <w:noWrap/>
            <w:vAlign w:val="bottom"/>
            <w:hideMark/>
          </w:tcPr>
          <w:p w:rsidR="002C42CB" w:rsidRDefault="002C42CB">
            <w:pPr>
              <w:spacing w:after="0" w:line="256" w:lineRule="auto"/>
              <w:rPr>
                <w:rFonts w:ascii="Arial" w:hAnsi="Arial" w:cs="Arial"/>
                <w:sz w:val="18"/>
                <w:szCs w:val="18"/>
                <w:lang w:eastAsia="cs-CZ"/>
              </w:rPr>
            </w:pPr>
            <w:r>
              <w:rPr>
                <w:rFonts w:ascii="Arial" w:hAnsi="Arial" w:cs="Arial"/>
                <w:sz w:val="18"/>
                <w:szCs w:val="18"/>
                <w:lang w:eastAsia="cs-CZ"/>
              </w:rPr>
              <w:t>Inflace</w:t>
            </w:r>
          </w:p>
        </w:tc>
        <w:tc>
          <w:tcPr>
            <w:tcW w:w="780" w:type="dxa"/>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3,30%</w:t>
            </w:r>
          </w:p>
        </w:tc>
        <w:tc>
          <w:tcPr>
            <w:tcW w:w="780"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1,40%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0,40%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0,30%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0,70%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2,50%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2,10%</w:t>
            </w:r>
          </w:p>
        </w:tc>
        <w:tc>
          <w:tcPr>
            <w:tcW w:w="779"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2,20%</w:t>
            </w:r>
          </w:p>
        </w:tc>
        <w:tc>
          <w:tcPr>
            <w:tcW w:w="737"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2,00%</w:t>
            </w:r>
          </w:p>
        </w:tc>
        <w:tc>
          <w:tcPr>
            <w:tcW w:w="811" w:type="dxa"/>
            <w:tcBorders>
              <w:top w:val="nil"/>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1,63%</w:t>
            </w:r>
          </w:p>
        </w:tc>
      </w:tr>
      <w:tr w:rsidR="002C42CB" w:rsidTr="002C42CB">
        <w:trPr>
          <w:trHeight w:val="255"/>
        </w:trPr>
        <w:tc>
          <w:tcPr>
            <w:tcW w:w="1381" w:type="dxa"/>
            <w:tcBorders>
              <w:top w:val="dotted" w:sz="4" w:space="0" w:color="auto"/>
              <w:left w:val="nil"/>
              <w:bottom w:val="nil"/>
              <w:right w:val="single" w:sz="8" w:space="0" w:color="auto"/>
            </w:tcBorders>
            <w:noWrap/>
            <w:vAlign w:val="bottom"/>
            <w:hideMark/>
          </w:tcPr>
          <w:p w:rsidR="002C42CB" w:rsidRDefault="002C42CB">
            <w:pPr>
              <w:spacing w:after="0" w:line="256" w:lineRule="auto"/>
              <w:rPr>
                <w:rFonts w:ascii="Arial" w:hAnsi="Arial" w:cs="Arial"/>
                <w:sz w:val="18"/>
                <w:szCs w:val="18"/>
                <w:lang w:eastAsia="cs-CZ"/>
              </w:rPr>
            </w:pPr>
            <w:r>
              <w:rPr>
                <w:rFonts w:ascii="Arial" w:hAnsi="Arial" w:cs="Arial"/>
                <w:sz w:val="18"/>
                <w:szCs w:val="18"/>
                <w:lang w:eastAsia="cs-CZ"/>
              </w:rPr>
              <w:t>Inflace stav. pr.</w:t>
            </w:r>
          </w:p>
        </w:tc>
        <w:tc>
          <w:tcPr>
            <w:tcW w:w="780" w:type="dxa"/>
            <w:tcBorders>
              <w:top w:val="dotted" w:sz="4" w:space="0" w:color="auto"/>
              <w:left w:val="nil"/>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-0,70%</w:t>
            </w:r>
          </w:p>
        </w:tc>
        <w:tc>
          <w:tcPr>
            <w:tcW w:w="780"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-1,10%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0,50%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0,00%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0,00%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0,00%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0,00%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1,30%</w:t>
            </w:r>
          </w:p>
        </w:tc>
        <w:tc>
          <w:tcPr>
            <w:tcW w:w="737" w:type="dxa"/>
            <w:tcBorders>
              <w:top w:val="dotted" w:sz="4" w:space="0" w:color="auto"/>
              <w:left w:val="dotted" w:sz="4" w:space="0" w:color="auto"/>
              <w:bottom w:val="nil"/>
              <w:right w:val="nil"/>
            </w:tcBorders>
            <w:vAlign w:val="bottom"/>
            <w:hideMark/>
          </w:tcPr>
          <w:p w:rsidR="002C42CB" w:rsidRDefault="00232BC6" w:rsidP="00232BC6">
            <w:pPr>
              <w:spacing w:after="0" w:line="256" w:lineRule="auto"/>
              <w:jc w:val="center"/>
              <w:rPr>
                <w:rFonts w:ascii="Arial" w:hAnsi="Arial" w:cs="Arial"/>
                <w:sz w:val="18"/>
                <w:szCs w:val="18"/>
              </w:rPr>
            </w:pPr>
            <w:r>
              <w:rPr>
                <w:rFonts w:ascii="Arial" w:hAnsi="Arial" w:cs="Arial"/>
                <w:sz w:val="18"/>
                <w:szCs w:val="18"/>
              </w:rPr>
              <w:t>2,35</w:t>
            </w:r>
            <w:r w:rsidR="002C42CB">
              <w:rPr>
                <w:rFonts w:ascii="Arial" w:hAnsi="Arial" w:cs="Arial"/>
                <w:sz w:val="18"/>
                <w:szCs w:val="18"/>
              </w:rPr>
              <w:t>%</w:t>
            </w:r>
          </w:p>
        </w:tc>
        <w:tc>
          <w:tcPr>
            <w:tcW w:w="811" w:type="dxa"/>
            <w:tcBorders>
              <w:top w:val="dotted" w:sz="4" w:space="0" w:color="auto"/>
              <w:left w:val="dotted" w:sz="4" w:space="0" w:color="auto"/>
              <w:bottom w:val="nil"/>
              <w:right w:val="nil"/>
            </w:tcBorders>
            <w:vAlign w:val="bottom"/>
            <w:hideMark/>
          </w:tcPr>
          <w:p w:rsidR="002C42CB" w:rsidRDefault="00232BC6">
            <w:pPr>
              <w:spacing w:after="0" w:line="256" w:lineRule="auto"/>
              <w:jc w:val="center"/>
              <w:rPr>
                <w:rFonts w:ascii="Arial" w:hAnsi="Arial" w:cs="Arial"/>
                <w:sz w:val="18"/>
                <w:szCs w:val="18"/>
              </w:rPr>
            </w:pPr>
            <w:r>
              <w:rPr>
                <w:rFonts w:ascii="Arial" w:hAnsi="Arial" w:cs="Arial"/>
                <w:sz w:val="18"/>
                <w:szCs w:val="18"/>
              </w:rPr>
              <w:t>2,35</w:t>
            </w:r>
            <w:r w:rsidR="002C42CB">
              <w:rPr>
                <w:rFonts w:ascii="Arial" w:hAnsi="Arial" w:cs="Arial"/>
                <w:sz w:val="18"/>
                <w:szCs w:val="18"/>
              </w:rPr>
              <w:t>%</w:t>
            </w:r>
          </w:p>
        </w:tc>
      </w:tr>
      <w:tr w:rsidR="002C42CB" w:rsidTr="002C42CB">
        <w:trPr>
          <w:trHeight w:val="255"/>
        </w:trPr>
        <w:tc>
          <w:tcPr>
            <w:tcW w:w="1381" w:type="dxa"/>
            <w:tcBorders>
              <w:top w:val="dotted" w:sz="4" w:space="0" w:color="auto"/>
              <w:left w:val="nil"/>
              <w:bottom w:val="nil"/>
              <w:right w:val="single" w:sz="8" w:space="0" w:color="auto"/>
            </w:tcBorders>
            <w:noWrap/>
            <w:vAlign w:val="bottom"/>
            <w:hideMark/>
          </w:tcPr>
          <w:p w:rsidR="002C42CB" w:rsidRDefault="002C42CB">
            <w:pPr>
              <w:spacing w:after="0" w:line="256" w:lineRule="auto"/>
              <w:rPr>
                <w:rFonts w:ascii="Arial" w:hAnsi="Arial" w:cs="Arial"/>
                <w:sz w:val="18"/>
                <w:szCs w:val="18"/>
                <w:lang w:eastAsia="cs-CZ"/>
              </w:rPr>
            </w:pPr>
            <w:r>
              <w:rPr>
                <w:rFonts w:ascii="Arial" w:hAnsi="Arial" w:cs="Arial"/>
                <w:sz w:val="18"/>
                <w:szCs w:val="18"/>
                <w:lang w:eastAsia="cs-CZ"/>
              </w:rPr>
              <w:t>HDP na hlavu</w:t>
            </w:r>
          </w:p>
        </w:tc>
        <w:tc>
          <w:tcPr>
            <w:tcW w:w="780" w:type="dxa"/>
            <w:tcBorders>
              <w:top w:val="dotted" w:sz="4" w:space="0" w:color="auto"/>
              <w:left w:val="nil"/>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-0,70%</w:t>
            </w:r>
          </w:p>
        </w:tc>
        <w:tc>
          <w:tcPr>
            <w:tcW w:w="780"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-0,50%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2,70%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5,40%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2,40%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4,50%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2,80%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2,90%</w:t>
            </w:r>
          </w:p>
        </w:tc>
        <w:tc>
          <w:tcPr>
            <w:tcW w:w="737"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3,00%</w:t>
            </w:r>
          </w:p>
        </w:tc>
        <w:tc>
          <w:tcPr>
            <w:tcW w:w="811"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2,36%</w:t>
            </w:r>
          </w:p>
        </w:tc>
      </w:tr>
      <w:tr w:rsidR="002C42CB" w:rsidTr="002C42CB">
        <w:trPr>
          <w:trHeight w:val="255"/>
        </w:trPr>
        <w:tc>
          <w:tcPr>
            <w:tcW w:w="1381" w:type="dxa"/>
            <w:tcBorders>
              <w:top w:val="dotted" w:sz="4" w:space="0" w:color="auto"/>
              <w:left w:val="nil"/>
              <w:bottom w:val="nil"/>
              <w:right w:val="single" w:sz="8" w:space="0" w:color="auto"/>
            </w:tcBorders>
            <w:noWrap/>
            <w:vAlign w:val="bottom"/>
            <w:hideMark/>
          </w:tcPr>
          <w:p w:rsidR="002C42CB" w:rsidRDefault="002C42CB">
            <w:pPr>
              <w:spacing w:after="0" w:line="256" w:lineRule="auto"/>
              <w:rPr>
                <w:rFonts w:ascii="Arial" w:hAnsi="Arial" w:cs="Arial"/>
                <w:sz w:val="18"/>
                <w:szCs w:val="18"/>
                <w:lang w:eastAsia="cs-CZ"/>
              </w:rPr>
            </w:pPr>
            <w:r>
              <w:rPr>
                <w:rFonts w:ascii="Arial" w:hAnsi="Arial" w:cs="Arial"/>
                <w:sz w:val="18"/>
                <w:szCs w:val="18"/>
                <w:lang w:eastAsia="cs-CZ"/>
              </w:rPr>
              <w:t>Reálné mzdy</w:t>
            </w:r>
          </w:p>
        </w:tc>
        <w:tc>
          <w:tcPr>
            <w:tcW w:w="780" w:type="dxa"/>
            <w:tcBorders>
              <w:top w:val="dotted" w:sz="4" w:space="0" w:color="auto"/>
              <w:left w:val="nil"/>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-0,80%</w:t>
            </w:r>
          </w:p>
        </w:tc>
        <w:tc>
          <w:tcPr>
            <w:tcW w:w="780"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-1,50%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2,50%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2,90%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3,00%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4,40%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6,40%</w:t>
            </w:r>
          </w:p>
        </w:tc>
        <w:tc>
          <w:tcPr>
            <w:tcW w:w="779"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4,70%</w:t>
            </w:r>
          </w:p>
        </w:tc>
        <w:tc>
          <w:tcPr>
            <w:tcW w:w="737"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3,40%</w:t>
            </w:r>
          </w:p>
        </w:tc>
        <w:tc>
          <w:tcPr>
            <w:tcW w:w="811" w:type="dxa"/>
            <w:tcBorders>
              <w:top w:val="dotted" w:sz="4" w:space="0" w:color="auto"/>
              <w:left w:val="dotted" w:sz="4" w:space="0" w:color="auto"/>
              <w:bottom w:val="nil"/>
              <w:right w:val="nil"/>
            </w:tcBorders>
            <w:vAlign w:val="bottom"/>
            <w:hideMark/>
          </w:tcPr>
          <w:p w:rsidR="002C42CB" w:rsidRDefault="002C42CB">
            <w:pPr>
              <w:spacing w:after="0" w:line="256" w:lineRule="auto"/>
              <w:jc w:val="center"/>
              <w:rPr>
                <w:rFonts w:ascii="Arial" w:hAnsi="Arial" w:cs="Arial"/>
                <w:sz w:val="18"/>
                <w:szCs w:val="18"/>
              </w:rPr>
            </w:pPr>
            <w:r>
              <w:rPr>
                <w:rFonts w:ascii="Arial" w:hAnsi="Arial" w:cs="Arial"/>
                <w:sz w:val="18"/>
                <w:szCs w:val="18"/>
              </w:rPr>
              <w:t>2,29%</w:t>
            </w:r>
          </w:p>
        </w:tc>
      </w:tr>
    </w:tbl>
    <w:p w:rsidR="002C42CB" w:rsidRDefault="002C42CB" w:rsidP="002C42CB">
      <w:pPr>
        <w:autoSpaceDE w:val="0"/>
        <w:autoSpaceDN w:val="0"/>
        <w:adjustRightInd w:val="0"/>
        <w:spacing w:after="0"/>
        <w:rPr>
          <w:u w:val="single"/>
        </w:rPr>
      </w:pPr>
    </w:p>
    <w:p w:rsidR="00FF7D35" w:rsidRDefault="00FF7D35" w:rsidP="00FF7D35">
      <w:pPr>
        <w:pStyle w:val="Nadpis1"/>
      </w:pPr>
      <w:bookmarkStart w:id="51" w:name="_Toc24713958"/>
      <w:bookmarkStart w:id="52" w:name="_Toc40186595"/>
      <w:r>
        <w:t>Finanční analýza</w:t>
      </w:r>
      <w:bookmarkEnd w:id="51"/>
      <w:bookmarkEnd w:id="52"/>
    </w:p>
    <w:p w:rsidR="00FF7D35" w:rsidRDefault="00FF7D35" w:rsidP="00FF7D35">
      <w:r>
        <w:t xml:space="preserve">Do finanční analýzy vstupují: </w:t>
      </w:r>
    </w:p>
    <w:p w:rsidR="00FF7D35" w:rsidRDefault="00FF7D35" w:rsidP="00FF7D35">
      <w:pPr>
        <w:pStyle w:val="Odstavecseseznamem"/>
        <w:numPr>
          <w:ilvl w:val="0"/>
          <w:numId w:val="22"/>
        </w:numPr>
      </w:pPr>
      <w:r>
        <w:t xml:space="preserve">investiční náklady, </w:t>
      </w:r>
    </w:p>
    <w:p w:rsidR="00FF7D35" w:rsidRDefault="00FF7D35" w:rsidP="00FF7D35">
      <w:pPr>
        <w:pStyle w:val="Odstavecseseznamem"/>
        <w:numPr>
          <w:ilvl w:val="0"/>
          <w:numId w:val="22"/>
        </w:numPr>
      </w:pPr>
      <w:r>
        <w:t xml:space="preserve">náklady na údržbu a opravy železniční infrastruktury, </w:t>
      </w:r>
    </w:p>
    <w:p w:rsidR="00FF7D35" w:rsidRDefault="00FF7D35" w:rsidP="00FF7D35">
      <w:pPr>
        <w:pStyle w:val="Odstavecseseznamem"/>
        <w:numPr>
          <w:ilvl w:val="0"/>
          <w:numId w:val="22"/>
        </w:numPr>
      </w:pPr>
      <w:r>
        <w:t xml:space="preserve">náklady na zaměstnance řízení dopravy, </w:t>
      </w:r>
    </w:p>
    <w:p w:rsidR="00FF7D35" w:rsidRDefault="00FF7D35" w:rsidP="00FF7D35">
      <w:pPr>
        <w:pStyle w:val="Odstavecseseznamem"/>
        <w:numPr>
          <w:ilvl w:val="0"/>
          <w:numId w:val="22"/>
        </w:numPr>
      </w:pPr>
      <w:r>
        <w:t xml:space="preserve">příjmy z poplatku za použití dopravní cesty. </w:t>
      </w:r>
    </w:p>
    <w:p w:rsidR="00FF7D35" w:rsidRDefault="00FF7D35" w:rsidP="00FF7D35">
      <w:pPr>
        <w:rPr>
          <w:b/>
        </w:rPr>
      </w:pPr>
      <w:r w:rsidRPr="0041144C">
        <w:rPr>
          <w:b/>
        </w:rPr>
        <w:t xml:space="preserve">Výsledek finanční analýzy varianty </w:t>
      </w:r>
      <w:r>
        <w:rPr>
          <w:b/>
        </w:rPr>
        <w:t>3</w:t>
      </w:r>
      <w:r w:rsidRPr="0041144C">
        <w:rPr>
          <w:b/>
        </w:rPr>
        <w:t xml:space="preserve"> činil</w:t>
      </w:r>
      <w:r>
        <w:rPr>
          <w:b/>
        </w:rPr>
        <w:t xml:space="preserve"> v rámci Studie proveditelnosti:</w:t>
      </w:r>
    </w:p>
    <w:p w:rsidR="00FF7D35" w:rsidRPr="0041144C" w:rsidRDefault="00FF7D35" w:rsidP="00FF7D35">
      <w:pPr>
        <w:jc w:val="center"/>
        <w:rPr>
          <w:b/>
        </w:rPr>
      </w:pPr>
      <w:r w:rsidRPr="0041144C">
        <w:rPr>
          <w:b/>
        </w:rPr>
        <w:t>FRR -</w:t>
      </w:r>
      <w:r>
        <w:rPr>
          <w:b/>
        </w:rPr>
        <w:t>3,50</w:t>
      </w:r>
      <w:r w:rsidRPr="0041144C">
        <w:rPr>
          <w:b/>
        </w:rPr>
        <w:t>%, FNP</w:t>
      </w:r>
      <w:r>
        <w:rPr>
          <w:b/>
        </w:rPr>
        <w:t>V</w:t>
      </w:r>
      <w:r w:rsidRPr="0041144C">
        <w:rPr>
          <w:b/>
        </w:rPr>
        <w:t xml:space="preserve"> -</w:t>
      </w:r>
      <w:r>
        <w:rPr>
          <w:b/>
        </w:rPr>
        <w:t>5 623 330</w:t>
      </w:r>
      <w:r w:rsidRPr="0041144C">
        <w:rPr>
          <w:b/>
        </w:rPr>
        <w:t xml:space="preserve"> tis. Kč.</w:t>
      </w:r>
    </w:p>
    <w:p w:rsidR="00FF7D35" w:rsidRDefault="00FF7D35" w:rsidP="00FF7D35">
      <w:pPr>
        <w:pStyle w:val="Nadpis2"/>
      </w:pPr>
      <w:bookmarkStart w:id="53" w:name="_Toc24713959"/>
      <w:bookmarkStart w:id="54" w:name="_Toc40186596"/>
      <w:r w:rsidRPr="006764A3">
        <w:t>Investiční náklady</w:t>
      </w:r>
      <w:bookmarkEnd w:id="53"/>
      <w:bookmarkEnd w:id="54"/>
    </w:p>
    <w:p w:rsidR="00FF7D35" w:rsidRPr="005C0DF8" w:rsidRDefault="00FF7D35" w:rsidP="009C4FBA">
      <w:r>
        <w:t xml:space="preserve">V rámci studie proveditelnosti byly náklady všech staveb vyčísleny na </w:t>
      </w:r>
      <w:r w:rsidR="009C4FBA">
        <w:t>7,648</w:t>
      </w:r>
      <w:r>
        <w:t xml:space="preserve"> mld. Kč bez rezervy a DPH v cenové úrovni 20</w:t>
      </w:r>
      <w:r w:rsidR="009C4FBA">
        <w:t>21</w:t>
      </w:r>
      <w:r>
        <w:t xml:space="preserve">. </w:t>
      </w:r>
      <w:r w:rsidR="00CA2006">
        <w:t xml:space="preserve">V době sestavení rozpočtu ve studii proveditelnosti, bylo uvažováno s inflací cen stavebních prací ve výši 0,0%, investiční náklady uvedené v SP v úrovni </w:t>
      </w:r>
      <w:r w:rsidR="00CA2006" w:rsidRPr="005C0DF8">
        <w:t xml:space="preserve">2021 lze tak považovat i za náklady v cenové úrovni 2020. </w:t>
      </w:r>
      <w:r w:rsidRPr="005C0DF8">
        <w:t xml:space="preserve">V rámci této </w:t>
      </w:r>
      <w:r w:rsidR="009C4FBA" w:rsidRPr="005C0DF8">
        <w:t xml:space="preserve">zpracování záměru projektu </w:t>
      </w:r>
      <w:r w:rsidRPr="005C0DF8">
        <w:t xml:space="preserve">byly aktualizovány celkové investiční náklady </w:t>
      </w:r>
      <w:r w:rsidR="009C4FBA" w:rsidRPr="005C0DF8">
        <w:t xml:space="preserve">stavby, jejich celková výše </w:t>
      </w:r>
      <w:r w:rsidRPr="005C0DF8">
        <w:t xml:space="preserve">bez rezervy a DPH činí </w:t>
      </w:r>
      <w:r w:rsidR="005C0DF8" w:rsidRPr="005C0DF8">
        <w:t>19,</w:t>
      </w:r>
      <w:r w:rsidR="005B3A97">
        <w:t>8</w:t>
      </w:r>
      <w:r w:rsidRPr="005C0DF8">
        <w:t xml:space="preserve"> mld. Kč</w:t>
      </w:r>
      <w:r w:rsidR="009C4FBA" w:rsidRPr="005C0DF8">
        <w:t>. Oproti nákladům uvažovaným v SP došlo k navýšení celkových nákladů o</w:t>
      </w:r>
      <w:r w:rsidR="005C0DF8" w:rsidRPr="005C0DF8">
        <w:t xml:space="preserve"> </w:t>
      </w:r>
      <w:r w:rsidR="005B3A97">
        <w:t>12,1</w:t>
      </w:r>
      <w:r w:rsidR="009C4FBA" w:rsidRPr="005C0DF8">
        <w:t xml:space="preserve"> mld. Kč.</w:t>
      </w:r>
    </w:p>
    <w:p w:rsidR="00FF7D35" w:rsidRDefault="00FF7D35" w:rsidP="00FF7D35">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13</w:t>
      </w:r>
      <w:r>
        <w:rPr>
          <w:noProof/>
        </w:rPr>
        <w:fldChar w:fldCharType="end"/>
      </w:r>
      <w:r>
        <w:t xml:space="preserve"> </w:t>
      </w:r>
      <w:r w:rsidR="009C4FBA">
        <w:t xml:space="preserve">Srovnání </w:t>
      </w:r>
      <w:r>
        <w:t xml:space="preserve">investičních nákladů </w:t>
      </w:r>
      <w:r w:rsidR="009C4FBA" w:rsidRPr="002C42CB">
        <w:t xml:space="preserve">železničního uzlu Ostrava </w:t>
      </w:r>
      <w:r w:rsidR="009C4FBA">
        <w:t>v tis. Kč,</w:t>
      </w:r>
    </w:p>
    <w:p w:rsidR="00FF7D35" w:rsidRDefault="00232BC6" w:rsidP="00FF7D35">
      <w:r>
        <w:rPr>
          <w:noProof/>
          <w:lang w:eastAsia="cs-CZ"/>
        </w:rPr>
        <w:fldChar w:fldCharType="begin"/>
      </w:r>
      <w:r>
        <w:rPr>
          <w:noProof/>
          <w:lang w:eastAsia="cs-CZ"/>
        </w:rPr>
        <w:instrText xml:space="preserve"> LINK Excel.Sheet.12 "\\\\Fsbn\\pd19\\19-022-233-XX_OlUS_aktualizace_EH\\Ostrava\\EH_uzel_Ostrava.xlsx!CIN!R1C1:R12C3" "" \a \p </w:instrText>
      </w:r>
      <w:r>
        <w:rPr>
          <w:noProof/>
          <w:lang w:eastAsia="cs-CZ"/>
        </w:rPr>
        <w:fldChar w:fldCharType="separate"/>
      </w:r>
      <w:r w:rsidR="00DC205F">
        <w:rPr>
          <w:noProof/>
          <w:lang w:eastAsia="cs-CZ"/>
        </w:rPr>
        <w:object w:dxaOrig="6750" w:dyaOrig="3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65pt;height:173.9pt">
            <v:imagedata r:id="rId12" o:title=""/>
            <o:lock v:ext="edit" aspectratio="f"/>
          </v:shape>
        </w:object>
      </w:r>
      <w:r>
        <w:rPr>
          <w:noProof/>
          <w:lang w:eastAsia="cs-CZ"/>
        </w:rPr>
        <w:fldChar w:fldCharType="end"/>
      </w:r>
    </w:p>
    <w:p w:rsidR="0007722C" w:rsidRPr="00E403B2" w:rsidRDefault="0007722C" w:rsidP="0007722C">
      <w:pPr>
        <w:pStyle w:val="Nadpis2"/>
      </w:pPr>
      <w:bookmarkStart w:id="55" w:name="_Toc24713960"/>
      <w:bookmarkStart w:id="56" w:name="_Toc40186597"/>
      <w:r w:rsidRPr="00E403B2">
        <w:t>Náklady na údržbu a opravy železniční infrastruktury</w:t>
      </w:r>
      <w:bookmarkEnd w:id="55"/>
      <w:bookmarkEnd w:id="56"/>
      <w:r w:rsidRPr="00E403B2">
        <w:t xml:space="preserve"> </w:t>
      </w:r>
    </w:p>
    <w:p w:rsidR="0007722C" w:rsidRDefault="0007722C" w:rsidP="0007722C">
      <w:r>
        <w:t>Náklady na údržbu varianty bez projektu vychází z analýzy nákladů údržby let 2009-2013, náklady na opravy pak byly sestaveny na základě podkladů správce infrastruktury.</w:t>
      </w:r>
      <w:r w:rsidRPr="00611C67">
        <w:t xml:space="preserve"> </w:t>
      </w:r>
      <w:r>
        <w:t>Celkem náklady na provozuschopnost bezprojektové varianty činily v letech 2021-2054 9,5 mld. Kč.</w:t>
      </w:r>
    </w:p>
    <w:p w:rsidR="005C0DF8" w:rsidRDefault="005C0DF8" w:rsidP="0007722C">
      <w:r>
        <w:t>V rámci aktualizace byly náklady na provozuschopnost vypočteny na základě doporučení rezortní metodiky.</w:t>
      </w:r>
    </w:p>
    <w:p w:rsidR="005C0DF8" w:rsidRPr="006C6DE6" w:rsidRDefault="005C0DF8" w:rsidP="00D71755">
      <w:pPr>
        <w:pStyle w:val="Nadpis3"/>
      </w:pPr>
      <w:bookmarkStart w:id="57" w:name="_Toc40186598"/>
      <w:r w:rsidRPr="006C6DE6">
        <w:t>Náklady na údržbu</w:t>
      </w:r>
      <w:bookmarkEnd w:id="57"/>
    </w:p>
    <w:p w:rsidR="006A7723" w:rsidRDefault="00022A68" w:rsidP="005C0DF8">
      <w:r>
        <w:t>N</w:t>
      </w:r>
      <w:r w:rsidR="005C0DF8">
        <w:t xml:space="preserve">áklady na provozuschopnost (opravy a údržba) </w:t>
      </w:r>
      <w:r>
        <w:t xml:space="preserve">byly vypočteny ze skutečných nákladů provozuschopnosti </w:t>
      </w:r>
      <w:r w:rsidR="005C0DF8">
        <w:t>v letech 201</w:t>
      </w:r>
      <w:r w:rsidR="006A7723">
        <w:t>4</w:t>
      </w:r>
      <w:r w:rsidR="005C0DF8">
        <w:t>-201</w:t>
      </w:r>
      <w:r w:rsidR="006A7723">
        <w:t xml:space="preserve">9 </w:t>
      </w:r>
      <w:r w:rsidR="005C0DF8">
        <w:t>v</w:t>
      </w:r>
      <w:r w:rsidR="006A7723">
        <w:t> </w:t>
      </w:r>
      <w:r w:rsidR="005C0DF8">
        <w:t>úse</w:t>
      </w:r>
      <w:r w:rsidR="006A7723">
        <w:t>cích:</w:t>
      </w:r>
    </w:p>
    <w:p w:rsidR="006A7723" w:rsidRDefault="006A7723" w:rsidP="00946947">
      <w:pPr>
        <w:pStyle w:val="Odstavecseseznamem"/>
        <w:numPr>
          <w:ilvl w:val="0"/>
          <w:numId w:val="46"/>
        </w:numPr>
      </w:pPr>
      <w:r>
        <w:t>na trati 270 Polanka nad Odrou –</w:t>
      </w:r>
      <w:r w:rsidR="000F769F">
        <w:t xml:space="preserve"> Bohumín-Vrbice</w:t>
      </w:r>
    </w:p>
    <w:p w:rsidR="000F769F" w:rsidRDefault="006A7723" w:rsidP="00946947">
      <w:pPr>
        <w:pStyle w:val="Odstavecseseznamem"/>
        <w:numPr>
          <w:ilvl w:val="0"/>
          <w:numId w:val="46"/>
        </w:numPr>
      </w:pPr>
      <w:r>
        <w:t xml:space="preserve">na trati 321 </w:t>
      </w:r>
      <w:r w:rsidR="000F769F">
        <w:t>Ostrava-Třebovice – Ostrava-Bartovice</w:t>
      </w:r>
    </w:p>
    <w:p w:rsidR="000F769F" w:rsidRDefault="000F769F" w:rsidP="00946947">
      <w:pPr>
        <w:pStyle w:val="Odstavecseseznamem"/>
        <w:numPr>
          <w:ilvl w:val="0"/>
          <w:numId w:val="46"/>
        </w:numPr>
      </w:pPr>
      <w:r>
        <w:t xml:space="preserve">na trati 321 Ostrava-Kunčice – Ostrava hl.n. </w:t>
      </w:r>
    </w:p>
    <w:p w:rsidR="005C0DF8" w:rsidRDefault="00022A68" w:rsidP="005C0DF8">
      <w:r>
        <w:t>Průměrná roční hodnota činí 391 mil. Kč v cenové úrovni 2020, přičemž samotná údržba činí 298 mil. Kč ročně.</w:t>
      </w:r>
    </w:p>
    <w:p w:rsidR="005C0DF8" w:rsidRDefault="005C0DF8" w:rsidP="005C0DF8">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14</w:t>
      </w:r>
      <w:r>
        <w:rPr>
          <w:noProof/>
        </w:rPr>
        <w:fldChar w:fldCharType="end"/>
      </w:r>
      <w:r>
        <w:t xml:space="preserve"> Náklady na provozuschopnost 201</w:t>
      </w:r>
      <w:r w:rsidR="006A7723">
        <w:t>4</w:t>
      </w:r>
      <w:r>
        <w:t>-201</w:t>
      </w:r>
      <w:r w:rsidR="006A7723">
        <w:t>9</w:t>
      </w:r>
      <w:r>
        <w:t>, CÚ 2</w:t>
      </w:r>
      <w:r w:rsidR="006A7723">
        <w:t>020</w:t>
      </w:r>
      <w:r>
        <w:t xml:space="preserve"> v tis. Kč</w:t>
      </w:r>
    </w:p>
    <w:p w:rsidR="005C0DF8" w:rsidRDefault="00022A68" w:rsidP="005C0DF8">
      <w:r>
        <w:fldChar w:fldCharType="begin"/>
      </w:r>
      <w:r>
        <w:instrText xml:space="preserve"> LINK Excel.Sheet.12 "\\\\Fsbn\\pd19\\19-022-233-XX_OlUS_aktualizace_EH\\Ostrava\\EH_uzel_Ostrava.xlsx!Udrzba_BP!R30C1:R39C8" "" \a \p </w:instrText>
      </w:r>
      <w:r>
        <w:fldChar w:fldCharType="separate"/>
      </w:r>
      <w:r w:rsidR="00DC205F">
        <w:object w:dxaOrig="8400" w:dyaOrig="3105">
          <v:shape id="_x0000_i1026" type="#_x0000_t75" style="width:400.2pt;height:148.7pt">
            <v:imagedata r:id="rId13" o:title=""/>
            <o:lock v:ext="edit" aspectratio="f"/>
          </v:shape>
        </w:object>
      </w:r>
      <w:r>
        <w:fldChar w:fldCharType="end"/>
      </w:r>
    </w:p>
    <w:p w:rsidR="005C0DF8" w:rsidRPr="00D71755" w:rsidRDefault="005C0DF8" w:rsidP="005C0DF8">
      <w:pPr>
        <w:rPr>
          <w:u w:val="single"/>
        </w:rPr>
      </w:pPr>
      <w:r w:rsidRPr="00D71755">
        <w:rPr>
          <w:b/>
          <w:u w:val="single"/>
        </w:rPr>
        <w:t>Stav bez projektu</w:t>
      </w:r>
    </w:p>
    <w:p w:rsidR="005C0DF8" w:rsidRPr="00BA7612" w:rsidRDefault="005C0DF8" w:rsidP="005C0DF8">
      <w:r w:rsidRPr="00BA7612">
        <w:t xml:space="preserve">Ve stavu bez projektu je uvažováno s konstantními náklady na údržbu po celou dobu hodnotícího období ve výši </w:t>
      </w:r>
      <w:r w:rsidR="00022A68">
        <w:rPr>
          <w:b/>
        </w:rPr>
        <w:t>298</w:t>
      </w:r>
      <w:r w:rsidRPr="00BA7612">
        <w:rPr>
          <w:b/>
        </w:rPr>
        <w:t xml:space="preserve"> mil. Kč</w:t>
      </w:r>
      <w:r w:rsidRPr="00BA7612">
        <w:t>.</w:t>
      </w:r>
    </w:p>
    <w:p w:rsidR="005C0DF8" w:rsidRPr="00D71755" w:rsidRDefault="005C0DF8" w:rsidP="005C0DF8">
      <w:pPr>
        <w:rPr>
          <w:b/>
          <w:u w:val="single"/>
        </w:rPr>
      </w:pPr>
      <w:r w:rsidRPr="00D71755">
        <w:rPr>
          <w:b/>
          <w:u w:val="single"/>
        </w:rPr>
        <w:t>Stav s projektem</w:t>
      </w:r>
    </w:p>
    <w:p w:rsidR="005C0DF8" w:rsidRDefault="005C0DF8" w:rsidP="005C0DF8">
      <w:r w:rsidRPr="00997EE3">
        <w:t xml:space="preserve">Ve stavu s projektem je počítáno s obdobnými náklady jako ve variantě bez projektu, pouze je zohledněno </w:t>
      </w:r>
      <w:r w:rsidR="00955625">
        <w:t>vybudování přesmyku v</w:t>
      </w:r>
      <w:r w:rsidRPr="00997EE3">
        <w:t xml:space="preserve"> </w:t>
      </w:r>
      <w:r w:rsidR="00022A68">
        <w:t>úseku Ostrava-Svinov-Ostrava hl.n.</w:t>
      </w:r>
      <w:r w:rsidR="00955625">
        <w:t xml:space="preserve">, který bude mít za následek vyšší náklady na údržbu, celkové navýšení bude činit 2,5 </w:t>
      </w:r>
      <w:r w:rsidRPr="00997EE3">
        <w:t>mil. Kč</w:t>
      </w:r>
      <w:r w:rsidR="00955625">
        <w:t xml:space="preserve"> ročně</w:t>
      </w:r>
      <w:r w:rsidRPr="00997EE3">
        <w:t xml:space="preserve">. </w:t>
      </w:r>
    </w:p>
    <w:p w:rsidR="005C0DF8" w:rsidRPr="001C51FA" w:rsidRDefault="005C0DF8" w:rsidP="00D71755">
      <w:pPr>
        <w:pStyle w:val="Nadpis3"/>
      </w:pPr>
      <w:bookmarkStart w:id="58" w:name="_Toc40186599"/>
      <w:r w:rsidRPr="001C51FA">
        <w:lastRenderedPageBreak/>
        <w:t>N</w:t>
      </w:r>
      <w:r w:rsidRPr="001C51FA">
        <w:rPr>
          <w:rFonts w:hint="eastAsia"/>
        </w:rPr>
        <w:t>á</w:t>
      </w:r>
      <w:r w:rsidRPr="001C51FA">
        <w:t>klady na v</w:t>
      </w:r>
      <w:r w:rsidRPr="001C51FA">
        <w:rPr>
          <w:rFonts w:hint="eastAsia"/>
        </w:rPr>
        <w:t>ý</w:t>
      </w:r>
      <w:r w:rsidRPr="001C51FA">
        <w:t>m</w:t>
      </w:r>
      <w:r w:rsidRPr="001C51FA">
        <w:rPr>
          <w:rFonts w:hint="eastAsia"/>
        </w:rPr>
        <w:t>ě</w:t>
      </w:r>
      <w:r w:rsidRPr="001C51FA">
        <w:t>nu vybaven</w:t>
      </w:r>
      <w:r w:rsidRPr="001C51FA">
        <w:rPr>
          <w:rFonts w:hint="eastAsia"/>
        </w:rPr>
        <w:t>í</w:t>
      </w:r>
      <w:r w:rsidRPr="001C51FA">
        <w:t xml:space="preserve"> </w:t>
      </w:r>
      <w:r w:rsidRPr="001C51FA">
        <w:rPr>
          <w:rFonts w:hint="eastAsia"/>
        </w:rPr>
        <w:t>–</w:t>
      </w:r>
      <w:r w:rsidRPr="001C51FA">
        <w:t xml:space="preserve"> tzv. reinvestice</w:t>
      </w:r>
      <w:bookmarkEnd w:id="58"/>
    </w:p>
    <w:p w:rsidR="002E1373" w:rsidRPr="00D1223C" w:rsidRDefault="002E1373" w:rsidP="002E1373">
      <w:pPr>
        <w:rPr>
          <w:u w:val="single"/>
        </w:rPr>
      </w:pPr>
      <w:r w:rsidRPr="00D1223C">
        <w:rPr>
          <w:b/>
          <w:u w:val="single"/>
        </w:rPr>
        <w:t>Stav bez projektu</w:t>
      </w:r>
    </w:p>
    <w:p w:rsidR="002E1373" w:rsidRPr="00B04DB5" w:rsidRDefault="002E1373" w:rsidP="002E1373">
      <w:pPr>
        <w:autoSpaceDE w:val="0"/>
        <w:autoSpaceDN w:val="0"/>
        <w:adjustRightInd w:val="0"/>
        <w:spacing w:after="0"/>
      </w:pPr>
      <w:r>
        <w:t xml:space="preserve">Pro zachování minimálně současné technické a provozní úrovně uzlu je nezbytně nutné, aby i při </w:t>
      </w:r>
      <w:r w:rsidRPr="00B04DB5">
        <w:t xml:space="preserve">nerealizaci </w:t>
      </w:r>
      <w:r>
        <w:t xml:space="preserve">projektové varianty </w:t>
      </w:r>
      <w:r w:rsidRPr="00B04DB5">
        <w:t>došlo k výměně jednotlivých objekt</w:t>
      </w:r>
      <w:r>
        <w:t>ů</w:t>
      </w:r>
      <w:r w:rsidRPr="00B04DB5">
        <w:t xml:space="preserve"> a zařízení </w:t>
      </w:r>
      <w:r w:rsidR="00FA0BC9">
        <w:t>v uzlu</w:t>
      </w:r>
      <w:r w:rsidRPr="00B04DB5">
        <w:t xml:space="preserve">. </w:t>
      </w:r>
    </w:p>
    <w:p w:rsidR="002E1373" w:rsidRPr="00B04DB5" w:rsidRDefault="002E1373" w:rsidP="002E1373">
      <w:r>
        <w:t xml:space="preserve">Jak bylo uvedeno v kapitole </w:t>
      </w:r>
      <w:r w:rsidRPr="00B04DB5">
        <w:t>1.1 Současný stav, nastane rok doporučené obnovy zařízení u velké většiny objekt</w:t>
      </w:r>
      <w:r w:rsidR="00FA0BC9">
        <w:t>ů</w:t>
      </w:r>
      <w:r w:rsidRPr="00B04DB5">
        <w:t xml:space="preserve"> a zařízení již před zahájením hodnotícího období stavby. V rámci ekonomického hodnocení je tak ve variantě bez projektu uvažováno s výměnou částí infrastruktury zejména na začátku hodnotícího období.</w:t>
      </w:r>
    </w:p>
    <w:p w:rsidR="005C0DF8" w:rsidRDefault="005C0DF8" w:rsidP="005C0DF8">
      <w:pPr>
        <w:autoSpaceDE w:val="0"/>
        <w:autoSpaceDN w:val="0"/>
        <w:adjustRightInd w:val="0"/>
        <w:spacing w:after="0"/>
        <w:rPr>
          <w:rFonts w:ascii="Calibri" w:hAnsi="Calibri" w:cs="Calibri"/>
        </w:rPr>
      </w:pPr>
      <w:r w:rsidRPr="001C51FA">
        <w:rPr>
          <w:rFonts w:ascii="Calibri" w:hAnsi="Calibri" w:cs="Calibri"/>
        </w:rPr>
        <w:t xml:space="preserve">Náklady na výměnu vybavení – reinvestice byly vypočteny za pomoci </w:t>
      </w:r>
      <w:r>
        <w:rPr>
          <w:rFonts w:ascii="Calibri" w:hAnsi="Calibri" w:cs="Calibri"/>
        </w:rPr>
        <w:t xml:space="preserve">Sborníku pro oceňování železničních staveb ve stupni studie a to na základě doporučení Rezortní metodiky. Tento Sborník obsahuje </w:t>
      </w:r>
      <w:r w:rsidRPr="001C51FA">
        <w:t>agregované</w:t>
      </w:r>
      <w:r>
        <w:rPr>
          <w:rFonts w:ascii="Calibri" w:hAnsi="Calibri" w:cs="Calibri"/>
        </w:rPr>
        <w:t xml:space="preserve"> nákladové položky a jejich jednotkové ceny a slouží pro nacenění projektů ve fázi studie proveditelnosti. Současně tento sborník slouží i jako jeden ze zdrojů pro nacenění </w:t>
      </w:r>
      <w:r w:rsidR="002E1373">
        <w:rPr>
          <w:rFonts w:ascii="Calibri" w:hAnsi="Calibri" w:cs="Calibri"/>
        </w:rPr>
        <w:t xml:space="preserve">oprav a </w:t>
      </w:r>
      <w:r>
        <w:rPr>
          <w:rFonts w:ascii="Calibri" w:hAnsi="Calibri" w:cs="Calibri"/>
        </w:rPr>
        <w:t xml:space="preserve">reinvestic bezprojektové varianty. </w:t>
      </w:r>
    </w:p>
    <w:p w:rsidR="005C0DF8" w:rsidRDefault="005C0DF8" w:rsidP="005C0DF8">
      <w:pPr>
        <w:autoSpaceDE w:val="0"/>
        <w:autoSpaceDN w:val="0"/>
        <w:adjustRightInd w:val="0"/>
        <w:spacing w:after="0"/>
        <w:rPr>
          <w:rFonts w:ascii="Calibri" w:hAnsi="Calibri" w:cs="Calibri"/>
        </w:rPr>
      </w:pPr>
      <w:r>
        <w:rPr>
          <w:rFonts w:ascii="Calibri" w:hAnsi="Calibri" w:cs="Calibri"/>
        </w:rPr>
        <w:t>Na základě údajů poskytnutých správcem infrastruktury bylo vyplněno množství jednotek v jednotlivých položká</w:t>
      </w:r>
      <w:r w:rsidR="00BA1FB7">
        <w:rPr>
          <w:rFonts w:ascii="Calibri" w:hAnsi="Calibri" w:cs="Calibri"/>
        </w:rPr>
        <w:t>ch sborníku a to v rozdělení do jednotlivých částí modernizovaného uzlu</w:t>
      </w:r>
      <w:r>
        <w:rPr>
          <w:rFonts w:ascii="Calibri" w:hAnsi="Calibri" w:cs="Calibri"/>
        </w:rPr>
        <w:t>.</w:t>
      </w:r>
    </w:p>
    <w:p w:rsidR="005C0DF8" w:rsidRDefault="005C0DF8" w:rsidP="005C0DF8">
      <w:pPr>
        <w:autoSpaceDE w:val="0"/>
        <w:autoSpaceDN w:val="0"/>
        <w:adjustRightInd w:val="0"/>
        <w:spacing w:after="0"/>
        <w:rPr>
          <w:rFonts w:ascii="Calibri" w:hAnsi="Calibri" w:cs="Calibri"/>
        </w:rPr>
      </w:pPr>
      <w:r>
        <w:rPr>
          <w:rFonts w:ascii="Calibri" w:hAnsi="Calibri" w:cs="Calibri"/>
        </w:rPr>
        <w:t>Řešené úseky jsou:</w:t>
      </w:r>
    </w:p>
    <w:p w:rsidR="005C0DF8"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Svinov</w:t>
      </w:r>
    </w:p>
    <w:p w:rsidR="005C0DF8"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průjezdné koleje</w:t>
      </w:r>
    </w:p>
    <w:p w:rsidR="00955625"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pravé nádraží</w:t>
      </w:r>
    </w:p>
    <w:p w:rsidR="00955625"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pravé nádraží, TO</w:t>
      </w:r>
    </w:p>
    <w:p w:rsidR="00955625"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levé nádraží</w:t>
      </w:r>
    </w:p>
    <w:p w:rsidR="00955625"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osobní nádraží</w:t>
      </w:r>
      <w:r w:rsidRPr="00462B31">
        <w:rPr>
          <w:rFonts w:ascii="Calibri" w:hAnsi="Calibri" w:cs="Calibri"/>
        </w:rPr>
        <w:t xml:space="preserve"> </w:t>
      </w:r>
    </w:p>
    <w:p w:rsidR="005C0DF8"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báňské nádraží</w:t>
      </w:r>
      <w:r w:rsidRPr="00462B31">
        <w:rPr>
          <w:rFonts w:ascii="Calibri" w:hAnsi="Calibri" w:cs="Calibri"/>
        </w:rPr>
        <w:t xml:space="preserve"> </w:t>
      </w:r>
    </w:p>
    <w:p w:rsidR="00955625"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báňské nádraží, THÚ</w:t>
      </w:r>
    </w:p>
    <w:p w:rsidR="005C0DF8"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 Stodolní</w:t>
      </w:r>
    </w:p>
    <w:p w:rsidR="00955625" w:rsidRPr="00462B31"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 střed</w:t>
      </w:r>
    </w:p>
    <w:p w:rsidR="005C0DF8" w:rsidRDefault="00955625" w:rsidP="00D62572">
      <w:pPr>
        <w:pStyle w:val="Odstavecseseznamem"/>
        <w:numPr>
          <w:ilvl w:val="0"/>
          <w:numId w:val="39"/>
        </w:numPr>
        <w:autoSpaceDE w:val="0"/>
        <w:autoSpaceDN w:val="0"/>
        <w:adjustRightInd w:val="0"/>
        <w:spacing w:after="0"/>
        <w:jc w:val="left"/>
        <w:rPr>
          <w:rFonts w:ascii="Calibri" w:hAnsi="Calibri" w:cs="Calibri"/>
        </w:rPr>
      </w:pPr>
      <w:r>
        <w:rPr>
          <w:rFonts w:ascii="Calibri" w:hAnsi="Calibri" w:cs="Calibri"/>
        </w:rPr>
        <w:t>Ostrava</w:t>
      </w:r>
    </w:p>
    <w:p w:rsidR="00955625" w:rsidRDefault="00955625" w:rsidP="005C0DF8">
      <w:pPr>
        <w:autoSpaceDE w:val="0"/>
        <w:autoSpaceDN w:val="0"/>
        <w:adjustRightInd w:val="0"/>
        <w:spacing w:after="0"/>
      </w:pPr>
    </w:p>
    <w:p w:rsidR="005C0DF8" w:rsidRPr="002E1373" w:rsidRDefault="005C0DF8" w:rsidP="005C0DF8">
      <w:pPr>
        <w:autoSpaceDE w:val="0"/>
        <w:autoSpaceDN w:val="0"/>
        <w:adjustRightInd w:val="0"/>
        <w:spacing w:after="0"/>
        <w:rPr>
          <w:rFonts w:ascii="Calibri" w:hAnsi="Calibri" w:cs="Calibri"/>
        </w:rPr>
      </w:pPr>
      <w:r w:rsidRPr="002E1373">
        <w:rPr>
          <w:rFonts w:ascii="Calibri" w:hAnsi="Calibri" w:cs="Calibri"/>
        </w:rPr>
        <w:t>Výsledkem jsou náklady na obnovu vybavení celé</w:t>
      </w:r>
      <w:r w:rsidR="002E1373">
        <w:rPr>
          <w:rFonts w:ascii="Calibri" w:hAnsi="Calibri" w:cs="Calibri"/>
        </w:rPr>
        <w:t>ho uzlu</w:t>
      </w:r>
      <w:r w:rsidRPr="002E1373">
        <w:rPr>
          <w:rFonts w:ascii="Calibri" w:hAnsi="Calibri" w:cs="Calibri"/>
        </w:rPr>
        <w:t xml:space="preserve"> </w:t>
      </w:r>
      <w:r w:rsidR="002E1373">
        <w:rPr>
          <w:rFonts w:ascii="Calibri" w:hAnsi="Calibri" w:cs="Calibri"/>
        </w:rPr>
        <w:t xml:space="preserve">v </w:t>
      </w:r>
      <w:r w:rsidR="002E1373" w:rsidRPr="002E1373">
        <w:rPr>
          <w:rFonts w:ascii="Calibri" w:hAnsi="Calibri" w:cs="Calibri"/>
        </w:rPr>
        <w:t>bezprojektov</w:t>
      </w:r>
      <w:r w:rsidR="002E1373">
        <w:rPr>
          <w:rFonts w:ascii="Calibri" w:hAnsi="Calibri" w:cs="Calibri"/>
        </w:rPr>
        <w:t>é variantě</w:t>
      </w:r>
      <w:r w:rsidRPr="002E1373">
        <w:rPr>
          <w:rFonts w:ascii="Calibri" w:hAnsi="Calibri" w:cs="Calibri"/>
        </w:rPr>
        <w:t xml:space="preserve"> a to v členění na </w:t>
      </w:r>
      <w:r w:rsidR="002E1373">
        <w:rPr>
          <w:rFonts w:ascii="Calibri" w:hAnsi="Calibri" w:cs="Calibri"/>
        </w:rPr>
        <w:t>výše uvedené</w:t>
      </w:r>
      <w:r w:rsidRPr="002E1373">
        <w:rPr>
          <w:rFonts w:ascii="Calibri" w:hAnsi="Calibri" w:cs="Calibri"/>
        </w:rPr>
        <w:t xml:space="preserve"> mezistaniční úseky a jednotlivé skupiny stavebních objektů a provozních souborů.</w:t>
      </w:r>
    </w:p>
    <w:p w:rsidR="005C0DF8" w:rsidRPr="002E1373" w:rsidRDefault="005C0DF8" w:rsidP="005C0DF8">
      <w:pPr>
        <w:autoSpaceDE w:val="0"/>
        <w:autoSpaceDN w:val="0"/>
        <w:adjustRightInd w:val="0"/>
        <w:spacing w:after="0"/>
        <w:rPr>
          <w:rFonts w:ascii="Calibri" w:hAnsi="Calibri" w:cs="Calibri"/>
        </w:rPr>
      </w:pPr>
      <w:r w:rsidRPr="002E1373">
        <w:rPr>
          <w:rFonts w:ascii="Calibri" w:hAnsi="Calibri" w:cs="Calibri"/>
        </w:rPr>
        <w:t xml:space="preserve">Pro každou ze skupin stavebních objektů a provozních souborů je definována doporučená hodnota délky cyklu obnovy. Ta udává, za kolik let by mělo dojít k jeho obnově. </w:t>
      </w:r>
      <w:r w:rsidR="00AF449B" w:rsidRPr="002E1373">
        <w:rPr>
          <w:rFonts w:ascii="Calibri" w:hAnsi="Calibri" w:cs="Calibri"/>
        </w:rPr>
        <w:t>Použity byly hodnoty</w:t>
      </w:r>
      <w:r w:rsidR="00104176" w:rsidRPr="002E1373">
        <w:rPr>
          <w:rFonts w:ascii="Calibri" w:hAnsi="Calibri" w:cs="Calibri"/>
        </w:rPr>
        <w:t xml:space="preserve"> uvedené v Rezortní metodice</w:t>
      </w:r>
      <w:r w:rsidR="00AF449B" w:rsidRPr="002E1373">
        <w:rPr>
          <w:rFonts w:ascii="Calibri" w:hAnsi="Calibri" w:cs="Calibri"/>
        </w:rPr>
        <w:t xml:space="preserve"> pro trať kategorie TC2 – celostátní elektrizovaná trať</w:t>
      </w:r>
      <w:r w:rsidR="00104176" w:rsidRPr="002E1373">
        <w:rPr>
          <w:rFonts w:ascii="Calibri" w:hAnsi="Calibri" w:cs="Calibri"/>
        </w:rPr>
        <w:t xml:space="preserve"> (</w:t>
      </w:r>
      <w:r w:rsidR="00AF449B" w:rsidRPr="002E1373">
        <w:rPr>
          <w:rFonts w:ascii="Calibri" w:hAnsi="Calibri" w:cs="Calibri"/>
        </w:rPr>
        <w:t>tranzitní železniční koridor</w:t>
      </w:r>
      <w:r w:rsidR="00104176" w:rsidRPr="002E1373">
        <w:rPr>
          <w:rFonts w:ascii="Calibri" w:hAnsi="Calibri" w:cs="Calibri"/>
        </w:rPr>
        <w:t>)a</w:t>
      </w:r>
      <w:r w:rsidRPr="002E1373">
        <w:rPr>
          <w:rFonts w:ascii="Calibri" w:hAnsi="Calibri" w:cs="Calibri"/>
        </w:rPr>
        <w:t xml:space="preserve"> jsou shrnuty v následující tabulce.</w:t>
      </w:r>
    </w:p>
    <w:p w:rsidR="005C0DF8" w:rsidRDefault="005C0DF8" w:rsidP="005C0DF8">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15</w:t>
      </w:r>
      <w:r>
        <w:rPr>
          <w:noProof/>
        </w:rPr>
        <w:fldChar w:fldCharType="end"/>
      </w:r>
      <w:r>
        <w:t xml:space="preserve"> </w:t>
      </w:r>
      <w:r w:rsidRPr="00E17127">
        <w:t xml:space="preserve">Doporučené intervaly </w:t>
      </w:r>
      <w:r w:rsidR="00EF042C">
        <w:t xml:space="preserve">obnovy </w:t>
      </w:r>
      <w:r w:rsidRPr="00E17127">
        <w:t>zařízení</w:t>
      </w:r>
      <w:r>
        <w:t xml:space="preserve"> v letech</w:t>
      </w:r>
    </w:p>
    <w:p w:rsidR="005C0DF8" w:rsidRDefault="00450E9D" w:rsidP="005C0DF8">
      <w:r w:rsidRPr="00450E9D">
        <w:rPr>
          <w:noProof/>
          <w:lang w:eastAsia="cs-CZ"/>
        </w:rPr>
        <w:drawing>
          <wp:inline distT="0" distB="0" distL="0" distR="0">
            <wp:extent cx="2857500" cy="21717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171700"/>
                    </a:xfrm>
                    <a:prstGeom prst="rect">
                      <a:avLst/>
                    </a:prstGeom>
                    <a:noFill/>
                    <a:ln>
                      <a:noFill/>
                    </a:ln>
                  </pic:spPr>
                </pic:pic>
              </a:graphicData>
            </a:graphic>
          </wp:inline>
        </w:drawing>
      </w:r>
    </w:p>
    <w:p w:rsidR="005C0DF8" w:rsidRPr="00675C59" w:rsidRDefault="005C0DF8" w:rsidP="005C0DF8">
      <w:pPr>
        <w:autoSpaceDE w:val="0"/>
        <w:autoSpaceDN w:val="0"/>
        <w:adjustRightInd w:val="0"/>
        <w:spacing w:after="0"/>
        <w:rPr>
          <w:rFonts w:ascii="Calibri" w:hAnsi="Calibri" w:cs="Calibri"/>
        </w:rPr>
      </w:pPr>
      <w:r>
        <w:rPr>
          <w:rFonts w:ascii="Calibri" w:hAnsi="Calibri" w:cs="Calibri"/>
        </w:rPr>
        <w:lastRenderedPageBreak/>
        <w:t xml:space="preserve">Při znalosti celkových nákladů na obnovu a doporučené délky obnovy objektů a zařízení lze pak podle níže uvedeného klíče stanovit rozložení těchto nákladů v čase a to v závislosti na roku </w:t>
      </w:r>
      <w:r w:rsidR="002E1373">
        <w:rPr>
          <w:rFonts w:ascii="Calibri" w:hAnsi="Calibri" w:cs="Calibri"/>
        </w:rPr>
        <w:t>provedení obnovy stávajících objektů a zařízení</w:t>
      </w:r>
      <w:r>
        <w:rPr>
          <w:rFonts w:ascii="Calibri" w:hAnsi="Calibri" w:cs="Calibri"/>
        </w:rPr>
        <w:t>.</w:t>
      </w:r>
      <w:r w:rsidRPr="00675C59">
        <w:rPr>
          <w:rFonts w:ascii="Calibri" w:hAnsi="Calibri" w:cs="Calibri"/>
        </w:rPr>
        <w:t xml:space="preserve"> </w:t>
      </w:r>
    </w:p>
    <w:p w:rsidR="005C0DF8" w:rsidRDefault="005C0DF8" w:rsidP="005C0DF8">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16</w:t>
      </w:r>
      <w:r>
        <w:rPr>
          <w:noProof/>
        </w:rPr>
        <w:fldChar w:fldCharType="end"/>
      </w:r>
      <w:r>
        <w:t xml:space="preserve"> </w:t>
      </w:r>
      <w:r w:rsidR="00EF042C">
        <w:t>R</w:t>
      </w:r>
      <w:r w:rsidR="00EF042C" w:rsidRPr="00EF042C">
        <w:t>ozložení údržby a oprav v životním cyklu</w:t>
      </w:r>
      <w:bookmarkStart w:id="59" w:name="_GoBack"/>
      <w:bookmarkEnd w:id="59"/>
    </w:p>
    <w:p w:rsidR="005C0DF8" w:rsidRDefault="005C0DF8" w:rsidP="005C0DF8">
      <w:pPr>
        <w:autoSpaceDE w:val="0"/>
        <w:autoSpaceDN w:val="0"/>
        <w:adjustRightInd w:val="0"/>
        <w:spacing w:after="0"/>
        <w:rPr>
          <w:rFonts w:ascii="Calibri" w:hAnsi="Calibri" w:cs="Calibri"/>
        </w:rPr>
      </w:pPr>
      <w:r>
        <w:rPr>
          <w:rFonts w:ascii="Calibri" w:hAnsi="Calibri" w:cs="Calibri"/>
          <w:noProof/>
          <w:lang w:eastAsia="cs-CZ"/>
        </w:rPr>
        <w:drawing>
          <wp:inline distT="0" distB="0" distL="0" distR="0">
            <wp:extent cx="4399280" cy="2191385"/>
            <wp:effectExtent l="0" t="0" r="127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9280" cy="2191385"/>
                    </a:xfrm>
                    <a:prstGeom prst="rect">
                      <a:avLst/>
                    </a:prstGeom>
                    <a:noFill/>
                    <a:ln>
                      <a:noFill/>
                    </a:ln>
                  </pic:spPr>
                </pic:pic>
              </a:graphicData>
            </a:graphic>
          </wp:inline>
        </w:drawing>
      </w:r>
    </w:p>
    <w:p w:rsidR="005C0DF8" w:rsidRDefault="005C0DF8" w:rsidP="005C0DF8">
      <w:pPr>
        <w:autoSpaceDE w:val="0"/>
        <w:autoSpaceDN w:val="0"/>
        <w:adjustRightInd w:val="0"/>
        <w:spacing w:after="0"/>
        <w:rPr>
          <w:rFonts w:ascii="Calibri" w:hAnsi="Calibri" w:cs="Calibri"/>
        </w:rPr>
      </w:pPr>
    </w:p>
    <w:p w:rsidR="00BA1FB7" w:rsidRDefault="00B937BA" w:rsidP="00BA1FB7">
      <w:pPr>
        <w:autoSpaceDE w:val="0"/>
        <w:autoSpaceDN w:val="0"/>
        <w:adjustRightInd w:val="0"/>
        <w:spacing w:after="0"/>
        <w:rPr>
          <w:rFonts w:ascii="Calibri" w:hAnsi="Calibri" w:cs="Calibri"/>
        </w:rPr>
      </w:pPr>
      <w:bookmarkStart w:id="60" w:name="_Toc24713961"/>
      <w:r>
        <w:rPr>
          <w:rFonts w:ascii="Calibri" w:hAnsi="Calibri" w:cs="Calibri"/>
        </w:rPr>
        <w:t>Opravy a reinvestice</w:t>
      </w:r>
      <w:r w:rsidRPr="00B04DB5">
        <w:rPr>
          <w:rFonts w:ascii="Calibri" w:hAnsi="Calibri" w:cs="Calibri"/>
        </w:rPr>
        <w:t xml:space="preserve"> </w:t>
      </w:r>
      <w:r w:rsidR="00BA1FB7" w:rsidRPr="00B04DB5">
        <w:rPr>
          <w:rFonts w:ascii="Calibri" w:hAnsi="Calibri" w:cs="Calibri"/>
        </w:rPr>
        <w:t xml:space="preserve">rozdělené do let dle výše uvedeného klíče za využití doporučeného cyklu obnovy a procentních sazeb v průběhu tohoto cyklu jsou pro všechny úseky uvedeny v příloze č. 2. Níže je uveden výsledný soupis </w:t>
      </w:r>
      <w:r>
        <w:rPr>
          <w:rFonts w:ascii="Calibri" w:hAnsi="Calibri" w:cs="Calibri"/>
        </w:rPr>
        <w:t xml:space="preserve">oprav a </w:t>
      </w:r>
      <w:r w:rsidR="00BA1FB7" w:rsidRPr="00B04DB5">
        <w:rPr>
          <w:rFonts w:ascii="Calibri" w:hAnsi="Calibri" w:cs="Calibri"/>
        </w:rPr>
        <w:t xml:space="preserve">reinvestic za </w:t>
      </w:r>
      <w:r w:rsidR="00BA1FB7">
        <w:rPr>
          <w:rFonts w:ascii="Calibri" w:hAnsi="Calibri" w:cs="Calibri"/>
        </w:rPr>
        <w:t>celý uzel Ostrava.</w:t>
      </w:r>
    </w:p>
    <w:p w:rsidR="00BA1FB7" w:rsidRDefault="00BA1FB7" w:rsidP="00BA1FB7">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17</w:t>
      </w:r>
      <w:r>
        <w:rPr>
          <w:noProof/>
        </w:rPr>
        <w:fldChar w:fldCharType="end"/>
      </w:r>
      <w:r>
        <w:t xml:space="preserve"> Soupis nákladů varianty bez projektu za celé hodnotící období</w:t>
      </w:r>
      <w:r w:rsidRPr="00CC25EE">
        <w:t xml:space="preserve"> v tis. Kč</w:t>
      </w:r>
      <w:r>
        <w:t>, CÚ 2020</w:t>
      </w:r>
    </w:p>
    <w:p w:rsidR="00BA1FB7" w:rsidRDefault="00F07FDB" w:rsidP="00BA1FB7">
      <w:pPr>
        <w:autoSpaceDE w:val="0"/>
        <w:autoSpaceDN w:val="0"/>
        <w:adjustRightInd w:val="0"/>
        <w:spacing w:after="0"/>
        <w:rPr>
          <w:rFonts w:ascii="Calibri" w:hAnsi="Calibri" w:cs="Calibri"/>
        </w:rPr>
      </w:pPr>
      <w:r w:rsidRPr="00F07FDB">
        <w:rPr>
          <w:noProof/>
          <w:lang w:eastAsia="cs-CZ"/>
        </w:rPr>
        <w:drawing>
          <wp:inline distT="0" distB="0" distL="0" distR="0">
            <wp:extent cx="5760720" cy="5835172"/>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5835172"/>
                    </a:xfrm>
                    <a:prstGeom prst="rect">
                      <a:avLst/>
                    </a:prstGeom>
                    <a:noFill/>
                    <a:ln>
                      <a:noFill/>
                    </a:ln>
                  </pic:spPr>
                </pic:pic>
              </a:graphicData>
            </a:graphic>
          </wp:inline>
        </w:drawing>
      </w:r>
    </w:p>
    <w:p w:rsidR="00BA1FB7" w:rsidRPr="001C51FA" w:rsidRDefault="00BA1FB7" w:rsidP="00BA1FB7">
      <w:pPr>
        <w:rPr>
          <w:b/>
        </w:rPr>
      </w:pPr>
      <w:r w:rsidRPr="001C51FA">
        <w:rPr>
          <w:b/>
        </w:rPr>
        <w:t>Stav s projektem</w:t>
      </w:r>
    </w:p>
    <w:p w:rsidR="00BA1FB7" w:rsidRDefault="00BA1FB7" w:rsidP="00BA1FB7">
      <w:r>
        <w:t xml:space="preserve">Obdobně jako ve variantě bez projektu jsou reinvestice vypočteny i v projektové variantě a to s využitím stavebních nákladů varianty. Pro rozložení nákladů čase jsou opět využity doporučené cykly obnovy a procentní sazby reinvestic v průběhu cyklu. </w:t>
      </w:r>
      <w:r w:rsidR="00DA1474" w:rsidRPr="00D71755">
        <w:t>S následnými reinvesticemi není uvažováno jak v projektovém tak v bezprojektovém scénáři. Reinvestice by nastaly u komunikací ve variantě s projektem a pak zejména u varianty bez projektu u technologických zařízení, přičemž ve variantě bez projektu by tyto náklady byly výrazně vyšší. Náklady na reinvestice technologických zařízení v projektové variantě by proběhly těsně po skončení hodnotícího období, což by zvýhodňovalo projektovou variantu. Toto zvýhodnění by bylo založeno pouze na rozložení oprav a investic v čase a nebylo by podloženo reálným přínosem, proto jsou náklady na</w:t>
      </w:r>
      <w:r w:rsidR="00AA7E2A" w:rsidRPr="00D71755">
        <w:t xml:space="preserve"> následné</w:t>
      </w:r>
      <w:r w:rsidR="00DA1474" w:rsidRPr="00D71755">
        <w:t xml:space="preserve"> reinvestice v obou variantách zanedbány.</w:t>
      </w:r>
    </w:p>
    <w:p w:rsidR="00BA1FB7" w:rsidRDefault="00BA1FB7" w:rsidP="00BA1FB7">
      <w:r>
        <w:t>Celkové náklady na opravy v projektové variantě budou činit za celé hodnotící období 6,</w:t>
      </w:r>
      <w:r w:rsidR="005B3A97">
        <w:t>2</w:t>
      </w:r>
      <w:r>
        <w:t xml:space="preserve"> mld. Kč.</w:t>
      </w:r>
    </w:p>
    <w:p w:rsidR="0007722C" w:rsidRPr="00167D3C" w:rsidRDefault="0007722C" w:rsidP="0007722C">
      <w:pPr>
        <w:pStyle w:val="Nadpis2"/>
      </w:pPr>
      <w:bookmarkStart w:id="61" w:name="_Toc40186600"/>
      <w:r w:rsidRPr="00167D3C">
        <w:lastRenderedPageBreak/>
        <w:t>Náklady na zaměstnance řízení dopravy</w:t>
      </w:r>
      <w:bookmarkEnd w:id="60"/>
      <w:bookmarkEnd w:id="61"/>
      <w:r w:rsidRPr="00167D3C">
        <w:t xml:space="preserve"> </w:t>
      </w:r>
    </w:p>
    <w:p w:rsidR="0007722C" w:rsidRDefault="0007722C" w:rsidP="0007722C">
      <w:r>
        <w:t xml:space="preserve">Po dokončení modernizace </w:t>
      </w:r>
      <w:r w:rsidR="00E74C2D">
        <w:t>celého uzku</w:t>
      </w:r>
      <w:r>
        <w:t xml:space="preserve"> dojde ke snížení počtu pracovníků obsluhující dopravní cestu ze </w:t>
      </w:r>
      <w:r w:rsidR="009927A3">
        <w:t xml:space="preserve"> 121,216 </w:t>
      </w:r>
      <w:r>
        <w:t xml:space="preserve">pracovníků (stav v roce 2017) na </w:t>
      </w:r>
      <w:r w:rsidR="00E74C2D">
        <w:t>64,43</w:t>
      </w:r>
      <w:r>
        <w:t xml:space="preserve">, současně vyvstane potřeba obsadit CDP Přerov </w:t>
      </w:r>
      <w:r w:rsidR="00E74C2D">
        <w:t xml:space="preserve">22,104 </w:t>
      </w:r>
      <w:r>
        <w:t xml:space="preserve">pracovníky ve funkci </w:t>
      </w:r>
      <w:r w:rsidR="00E74C2D">
        <w:t>dispečera</w:t>
      </w:r>
      <w:r>
        <w:t xml:space="preserve">. Celková úspora bude činit </w:t>
      </w:r>
      <w:r w:rsidR="00E74C2D">
        <w:t xml:space="preserve">34,682 </w:t>
      </w:r>
      <w:r>
        <w:t>pracovníků.</w:t>
      </w:r>
    </w:p>
    <w:p w:rsidR="00BB68FB" w:rsidRDefault="0007722C" w:rsidP="0007722C">
      <w:r>
        <w:t xml:space="preserve">Na základě počtu pracovníků a měrných nákladů na jednoho pracovníka byly vyčísleny celkové náklady na řízení dopravy, které v rámci SP činily pro variantu bez projektu </w:t>
      </w:r>
      <w:r w:rsidR="00A2500F">
        <w:t>2</w:t>
      </w:r>
      <w:r>
        <w:t>,4 mld. Kč a pro projektovou variantu 1,</w:t>
      </w:r>
      <w:r w:rsidR="00A2500F">
        <w:t xml:space="preserve">4 </w:t>
      </w:r>
      <w:r>
        <w:t xml:space="preserve">mld. Kč. Vyjádřeno v CÚ </w:t>
      </w:r>
      <w:r w:rsidR="00A2500F">
        <w:t xml:space="preserve">2021 </w:t>
      </w:r>
      <w:r>
        <w:t xml:space="preserve">pro hodnotící období </w:t>
      </w:r>
      <w:r w:rsidR="00A2500F">
        <w:t>2021</w:t>
      </w:r>
      <w:r>
        <w:t>-</w:t>
      </w:r>
      <w:r w:rsidR="00A2500F">
        <w:t>2054</w:t>
      </w:r>
      <w:r>
        <w:t xml:space="preserve">. Úspora projektové varianty činila </w:t>
      </w:r>
      <w:r w:rsidR="00A2500F">
        <w:t>976 mil</w:t>
      </w:r>
      <w:r>
        <w:t xml:space="preserve">. Kč. V rámci SP byl výchozí stav počtu </w:t>
      </w:r>
      <w:r w:rsidR="00BB68FB">
        <w:t>pracovníků97,433 ac</w:t>
      </w:r>
      <w:r>
        <w:t xml:space="preserve">elková personální úspora činila </w:t>
      </w:r>
      <w:r w:rsidR="00BB68FB">
        <w:t>36,914</w:t>
      </w:r>
    </w:p>
    <w:p w:rsidR="0007722C" w:rsidRDefault="0007722C" w:rsidP="0007722C">
      <w:r>
        <w:t xml:space="preserve"> pracovníka.</w:t>
      </w:r>
    </w:p>
    <w:p w:rsidR="0007722C" w:rsidRDefault="0007722C" w:rsidP="0007722C">
      <w:r>
        <w:t xml:space="preserve">V rámci aktualizace byly využity aktuální nákladové sazby na jednotlivé profese a hodnotící období zkráceno na roky </w:t>
      </w:r>
      <w:r w:rsidR="00BB68FB">
        <w:t>2025</w:t>
      </w:r>
      <w:r>
        <w:t>-</w:t>
      </w:r>
      <w:r w:rsidR="00BB68FB">
        <w:t>2054</w:t>
      </w:r>
      <w:r>
        <w:t>. Současně byl aktualizován počet pracovníků v </w:t>
      </w:r>
      <w:r w:rsidR="00BB68FB">
        <w:t>uzlu</w:t>
      </w:r>
      <w:r>
        <w:t xml:space="preserve">, který se mírně liší od počtu uvedeného v SP. Výsledná úspora projektové varianty činí </w:t>
      </w:r>
      <w:r w:rsidR="00BB68FB">
        <w:t>637 mil</w:t>
      </w:r>
      <w:r>
        <w:t xml:space="preserve">. Kč, při celkových nákladech bezprojektové varianty </w:t>
      </w:r>
      <w:r w:rsidR="00BB68FB">
        <w:t>3,4</w:t>
      </w:r>
      <w:r>
        <w:t xml:space="preserve"> mld. Kč a nákladech projektové varianty </w:t>
      </w:r>
      <w:r w:rsidR="00BB68FB">
        <w:t>2,8</w:t>
      </w:r>
      <w:r>
        <w:t xml:space="preserve"> mld. Kč (náklady na provozování v letech jsou uvedeny v přiložených CBA tabulkách).</w:t>
      </w:r>
    </w:p>
    <w:p w:rsidR="00A66123" w:rsidRDefault="00A66123" w:rsidP="00D71755">
      <w:pPr>
        <w:pStyle w:val="Titulek"/>
        <w:keepNext/>
      </w:pPr>
      <w:r>
        <w:lastRenderedPageBreak/>
        <w:t xml:space="preserve">Tabulka </w:t>
      </w:r>
      <w:r w:rsidR="00EF042C">
        <w:rPr>
          <w:noProof/>
        </w:rPr>
        <w:fldChar w:fldCharType="begin"/>
      </w:r>
      <w:r w:rsidR="00EF042C">
        <w:rPr>
          <w:noProof/>
        </w:rPr>
        <w:instrText xml:space="preserve"> SEQ Tabulka \* ARABIC </w:instrText>
      </w:r>
      <w:r w:rsidR="00EF042C">
        <w:rPr>
          <w:noProof/>
        </w:rPr>
        <w:fldChar w:fldCharType="separate"/>
      </w:r>
      <w:r w:rsidR="00EF042C">
        <w:rPr>
          <w:noProof/>
        </w:rPr>
        <w:t>18</w:t>
      </w:r>
      <w:r w:rsidR="00EF042C">
        <w:rPr>
          <w:noProof/>
        </w:rPr>
        <w:fldChar w:fldCharType="end"/>
      </w:r>
      <w:r>
        <w:t xml:space="preserve"> Přehled počtu pracovníků ve stavu bez projektu a s projektem</w:t>
      </w:r>
    </w:p>
    <w:p w:rsidR="006E3087" w:rsidRDefault="00BA1FB7" w:rsidP="0007722C">
      <w:r>
        <w:fldChar w:fldCharType="begin"/>
      </w:r>
      <w:r>
        <w:instrText xml:space="preserve"> LINK Excel.Sheet.12 "\\\\Fsbn\\pd19\\19-022-233-XX_OlUS_aktualizace_EH\\Ostrava\\EH_uzel_Ostrava.xlsx!Provozovani!R3C1:R35C4" "" \a \p </w:instrText>
      </w:r>
      <w:r>
        <w:fldChar w:fldCharType="separate"/>
      </w:r>
      <w:r w:rsidR="00DC205F">
        <w:object w:dxaOrig="7335" w:dyaOrig="11085">
          <v:shape id="_x0000_i1027" type="#_x0000_t75" style="width:310.45pt;height:473.15pt;mso-position-vertical:absolute">
            <v:imagedata r:id="rId17" o:title=""/>
            <o:lock v:ext="edit" aspectratio="f"/>
          </v:shape>
        </w:object>
      </w:r>
      <w:r>
        <w:fldChar w:fldCharType="end"/>
      </w:r>
    </w:p>
    <w:p w:rsidR="0007722C" w:rsidRPr="00291B24" w:rsidRDefault="0007722C" w:rsidP="0007722C">
      <w:pPr>
        <w:pStyle w:val="Nadpis2"/>
      </w:pPr>
      <w:bookmarkStart w:id="62" w:name="_Toc24713962"/>
      <w:bookmarkStart w:id="63" w:name="_Toc40186601"/>
      <w:r w:rsidRPr="00291B24">
        <w:t>Příjmy z poplatku za použití dopravní cesty</w:t>
      </w:r>
      <w:bookmarkEnd w:id="62"/>
      <w:bookmarkEnd w:id="63"/>
      <w:r w:rsidRPr="00291B24">
        <w:t xml:space="preserve"> </w:t>
      </w:r>
    </w:p>
    <w:p w:rsidR="0007722C" w:rsidRDefault="0007722C" w:rsidP="0007722C">
      <w:r>
        <w:t xml:space="preserve">Poplatek za použití dopravní cesty byl v minulosti přímo závislý na dopravních výkonech (počtu vlakových kilometrů a hrubých tunových kilometrů) a kategorii trati. </w:t>
      </w:r>
    </w:p>
    <w:p w:rsidR="0007722C" w:rsidRDefault="0007722C" w:rsidP="0007722C">
      <w:r>
        <w:t>V rámci SP činily příjmy projektové varianty za celé hodnotící období 2,4 mld. Kč a byly o 0,5 mld. Kč vyšší než ve stavu bez projektu.</w:t>
      </w:r>
    </w:p>
    <w:p w:rsidR="0007722C" w:rsidRDefault="0007722C" w:rsidP="0007722C">
      <w:r>
        <w:t>Nově je v rámci aktualizace výpočet příjmů provozovatele železniční infrastruktury vypočten na základě postupu uvedeného v „Prohlášení o dráze“. Celková roční částka je sumou příjmů vypočtených pro jednotlivé vlaky. Cena za užití dráhy je závislá na typu tratě, délky uvažovaného úseku a hmotnosti vlaku. Kalkulační vzorec je uveden níže.</w:t>
      </w:r>
    </w:p>
    <w:p w:rsidR="0007722C" w:rsidRPr="00483B9E" w:rsidRDefault="0007722C" w:rsidP="0007722C">
      <w:pPr>
        <w:jc w:val="center"/>
        <w:rPr>
          <w:b/>
        </w:rPr>
      </w:pPr>
      <w:r w:rsidRPr="00483B9E">
        <w:rPr>
          <w:b/>
        </w:rPr>
        <w:t>C = L x Z x K x P x S</w:t>
      </w:r>
      <w:r w:rsidRPr="00483B9E">
        <w:rPr>
          <w:b/>
          <w:vertAlign w:val="subscript"/>
        </w:rPr>
        <w:t>1</w:t>
      </w:r>
      <w:r w:rsidRPr="00483B9E">
        <w:rPr>
          <w:b/>
        </w:rPr>
        <w:t xml:space="preserve"> x S</w:t>
      </w:r>
      <w:r w:rsidRPr="00483B9E">
        <w:rPr>
          <w:b/>
          <w:vertAlign w:val="subscript"/>
        </w:rPr>
        <w:t>2</w:t>
      </w:r>
      <w:r w:rsidRPr="00483B9E">
        <w:rPr>
          <w:b/>
        </w:rPr>
        <w:t>,</w:t>
      </w:r>
    </w:p>
    <w:p w:rsidR="0007722C" w:rsidRDefault="0007722C" w:rsidP="0007722C">
      <w:pPr>
        <w:spacing w:after="60"/>
        <w:ind w:firstLine="709"/>
      </w:pPr>
      <w:r>
        <w:t xml:space="preserve">kde: </w:t>
      </w:r>
      <w:r>
        <w:tab/>
        <w:t>C= cena za použití dráhy jízdou vlaku</w:t>
      </w:r>
    </w:p>
    <w:p w:rsidR="0007722C" w:rsidRDefault="0007722C" w:rsidP="0007722C">
      <w:pPr>
        <w:spacing w:after="60"/>
        <w:ind w:left="708" w:firstLine="709"/>
      </w:pPr>
      <w:r>
        <w:t>L= délka jízdy vlaku</w:t>
      </w:r>
    </w:p>
    <w:p w:rsidR="0007722C" w:rsidRDefault="0007722C" w:rsidP="0007722C">
      <w:pPr>
        <w:spacing w:after="60"/>
        <w:ind w:left="708" w:firstLine="709"/>
      </w:pPr>
      <w:r>
        <w:t>Z= základní cena</w:t>
      </w:r>
    </w:p>
    <w:p w:rsidR="0007722C" w:rsidRDefault="0007722C" w:rsidP="0007722C">
      <w:pPr>
        <w:spacing w:after="60"/>
        <w:ind w:left="708" w:firstLine="709"/>
      </w:pPr>
      <w:r>
        <w:lastRenderedPageBreak/>
        <w:t>K= koeficient kategorie tratě</w:t>
      </w:r>
    </w:p>
    <w:p w:rsidR="0007722C" w:rsidRDefault="0007722C" w:rsidP="0007722C">
      <w:pPr>
        <w:spacing w:after="60"/>
        <w:ind w:left="708" w:firstLine="709"/>
      </w:pPr>
      <w:r>
        <w:t>P= produktový faktor</w:t>
      </w:r>
    </w:p>
    <w:p w:rsidR="0007722C" w:rsidRDefault="0007722C" w:rsidP="0007722C">
      <w:pPr>
        <w:spacing w:after="60"/>
        <w:ind w:left="708" w:firstLine="709"/>
      </w:pPr>
      <w:r w:rsidRPr="00483B9E">
        <w:t>S</w:t>
      </w:r>
      <w:r w:rsidRPr="00483B9E">
        <w:rPr>
          <w:vertAlign w:val="subscript"/>
        </w:rPr>
        <w:t>1</w:t>
      </w:r>
      <w:r w:rsidRPr="00483B9E">
        <w:t xml:space="preserve"> x S</w:t>
      </w:r>
      <w:r w:rsidRPr="00483B9E">
        <w:rPr>
          <w:vertAlign w:val="subscript"/>
        </w:rPr>
        <w:t>2</w:t>
      </w:r>
      <w:r w:rsidRPr="00483B9E">
        <w:t>= specifické</w:t>
      </w:r>
      <w:r>
        <w:t xml:space="preserve"> faktory</w:t>
      </w:r>
    </w:p>
    <w:p w:rsidR="0007722C" w:rsidRDefault="0007722C" w:rsidP="0007722C">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19</w:t>
      </w:r>
      <w:r>
        <w:rPr>
          <w:noProof/>
        </w:rPr>
        <w:fldChar w:fldCharType="end"/>
      </w:r>
      <w:r>
        <w:t xml:space="preserve"> Srovnání příjmů provozovatele žel. infrastruktury SP vs. aktualizace, CÚ 20</w:t>
      </w:r>
      <w:r w:rsidR="005C4A16">
        <w:t>20</w:t>
      </w:r>
      <w:r>
        <w:t xml:space="preserve"> v tis. Kč</w:t>
      </w:r>
    </w:p>
    <w:p w:rsidR="0007722C" w:rsidRDefault="005C4A16" w:rsidP="0007722C">
      <w:r>
        <w:rPr>
          <w:noProof/>
          <w:lang w:eastAsia="cs-CZ"/>
        </w:rPr>
        <w:fldChar w:fldCharType="begin"/>
      </w:r>
      <w:r>
        <w:rPr>
          <w:noProof/>
          <w:lang w:eastAsia="cs-CZ"/>
        </w:rPr>
        <w:instrText xml:space="preserve"> LINK Excel.Sheet.12 "\\\\Fsbn\\pd19\\19-022-233-XX_OlUS_aktualizace_EH\\Ostrava\\EH_uzel_Ostrava.xlsx!Prijmy_SP!R41C9:R46C12" "" \a \p </w:instrText>
      </w:r>
      <w:r>
        <w:rPr>
          <w:noProof/>
          <w:lang w:eastAsia="cs-CZ"/>
        </w:rPr>
        <w:fldChar w:fldCharType="separate"/>
      </w:r>
      <w:r w:rsidR="00DC205F">
        <w:rPr>
          <w:noProof/>
          <w:lang w:eastAsia="cs-CZ"/>
        </w:rPr>
        <w:object w:dxaOrig="5160" w:dyaOrig="1575">
          <v:shape id="_x0000_i1028" type="#_x0000_t75" style="width:245pt;height:74.8pt;mso-position-vertical:absolute">
            <v:imagedata r:id="rId18" o:title=""/>
            <o:lock v:ext="edit" aspectratio="f"/>
          </v:shape>
        </w:object>
      </w:r>
      <w:r>
        <w:rPr>
          <w:noProof/>
          <w:lang w:eastAsia="cs-CZ"/>
        </w:rPr>
        <w:fldChar w:fldCharType="end"/>
      </w:r>
    </w:p>
    <w:p w:rsidR="0007722C" w:rsidRDefault="0007722C" w:rsidP="0007722C">
      <w:r>
        <w:t xml:space="preserve">Zvýšené příjmy projektové varianty činily ve studii proveditelnosti </w:t>
      </w:r>
      <w:r w:rsidR="009B2F32">
        <w:t>394</w:t>
      </w:r>
      <w:r>
        <w:t xml:space="preserve"> mil. Kč, aktualizované diferenční p</w:t>
      </w:r>
      <w:r w:rsidR="009B2F32">
        <w:t xml:space="preserve">říjmy projektové varianty činí </w:t>
      </w:r>
      <w:r w:rsidR="00A6769F">
        <w:t>757</w:t>
      </w:r>
      <w:r w:rsidRPr="007D1DAE">
        <w:t xml:space="preserve"> </w:t>
      </w:r>
      <w:r>
        <w:t xml:space="preserve">mil. Kč, při celkových příjmech projektové varianty </w:t>
      </w:r>
      <w:r w:rsidR="00A6769F">
        <w:t xml:space="preserve">9,9 </w:t>
      </w:r>
      <w:r>
        <w:t xml:space="preserve">mld. Kč a celkových příjmech bezprojektové varianty </w:t>
      </w:r>
      <w:r w:rsidR="00A6769F">
        <w:t>9,1</w:t>
      </w:r>
      <w:r>
        <w:t xml:space="preserve"> mld. Kč (výpočet poplatků za dopravní cestu je uveden v CBA tabulkách).</w:t>
      </w:r>
    </w:p>
    <w:p w:rsidR="0007722C" w:rsidRDefault="0007722C" w:rsidP="0007722C">
      <w:pPr>
        <w:pStyle w:val="Nadpis2"/>
      </w:pPr>
      <w:bookmarkStart w:id="64" w:name="_Toc489357167"/>
      <w:bookmarkStart w:id="65" w:name="_Toc24713963"/>
      <w:bookmarkStart w:id="66" w:name="_Toc40186602"/>
      <w:r w:rsidRPr="002557F7">
        <w:t>Zůstatková hodnota</w:t>
      </w:r>
      <w:bookmarkEnd w:id="64"/>
      <w:bookmarkEnd w:id="65"/>
      <w:bookmarkEnd w:id="66"/>
    </w:p>
    <w:p w:rsidR="0007722C" w:rsidRDefault="0007722C" w:rsidP="0007722C">
      <w:r>
        <w:t>Zůstatková hodnota byla v rámci SP počítáno na základě stavebních nákladů stavebních objektů a provozních souborů a jejich ekonomické životnosti.</w:t>
      </w:r>
    </w:p>
    <w:p w:rsidR="0007722C" w:rsidRPr="002557F7" w:rsidRDefault="0007722C" w:rsidP="0007722C">
      <w:r>
        <w:t xml:space="preserve">Podle současně platné metodiky </w:t>
      </w:r>
      <w:r w:rsidRPr="002557F7">
        <w:t>se zůstatková hodnota</w:t>
      </w:r>
      <w:r>
        <w:t xml:space="preserve"> určí</w:t>
      </w:r>
      <w:r w:rsidRPr="002557F7">
        <w:t xml:space="preserve"> vypočtením čisté současné hodnoty peněžních toků ve zbývajících letech životnosti zařízení. Do výpočtu se zůstatková hodnota zahrne v posledním roce hodnocení. </w:t>
      </w:r>
    </w:p>
    <w:p w:rsidR="0007722C" w:rsidRPr="002557F7" w:rsidRDefault="0007722C" w:rsidP="0007722C">
      <w:r w:rsidRPr="002557F7">
        <w:t>Peněžní toky po skončení referenčního období jsou uvažovány jako konstantní a jejich výši je třeba stanovit s ohledem na peněžní toky posledních let referenčního období. Skládají se z:</w:t>
      </w:r>
    </w:p>
    <w:p w:rsidR="0007722C" w:rsidRPr="002557F7" w:rsidRDefault="0007722C" w:rsidP="00D62572">
      <w:pPr>
        <w:pStyle w:val="Odstavecseseznamem"/>
        <w:numPr>
          <w:ilvl w:val="0"/>
          <w:numId w:val="23"/>
        </w:numPr>
      </w:pPr>
      <w:r w:rsidRPr="002557F7">
        <w:t>nákladových peněžních toků (diferenční tok údržbových a provozních nákladů infrastruktury a vozidel</w:t>
      </w:r>
      <w:r>
        <w:t xml:space="preserve"> (pouze ekonomická analýza)</w:t>
      </w:r>
      <w:r w:rsidRPr="002557F7">
        <w:t xml:space="preserve"> a finančních příjmů),</w:t>
      </w:r>
    </w:p>
    <w:p w:rsidR="0007722C" w:rsidRPr="002557F7" w:rsidRDefault="0007722C" w:rsidP="00D62572">
      <w:pPr>
        <w:pStyle w:val="Odstavecseseznamem"/>
        <w:numPr>
          <w:ilvl w:val="0"/>
          <w:numId w:val="23"/>
        </w:numPr>
      </w:pPr>
      <w:r w:rsidRPr="002557F7">
        <w:t>přínosů (diferenční tok ekonomických přínosů v ekonomické analýze).</w:t>
      </w:r>
    </w:p>
    <w:p w:rsidR="0007722C" w:rsidRPr="002557F7" w:rsidRDefault="0007722C" w:rsidP="0007722C">
      <w:r w:rsidRPr="002557F7">
        <w:t>Kvůli zohlednění vývoje cash-flow a mimořádných oprav včetně reinvestic po celou dobu hodnocení, se do výpočtu zůstatkové hodnoty zahrne při vyčíslení peněžních toků na konci hodnotícího období průměrný cash-flow za provozní fázi v případě nákladových a příjmových peněžních toků a cash-flow posledního roku provozní fáze v případě přínosů.</w:t>
      </w:r>
    </w:p>
    <w:p w:rsidR="0007722C" w:rsidRPr="002557F7" w:rsidRDefault="0007722C" w:rsidP="0007722C">
      <w:r w:rsidRPr="002557F7">
        <w:t>Předpokládaná ekonomická životnost zařízení v rámci hodnocené investice je stanovena podle objektového složení jako vážený průměr podle výše investičních nákladů vynaložených na jednotlivé typy objektů a zařízení s příslušnou délkou životnosti. Zahájení životního cyklu investice je uvažováno v prvním roce provozní fáze po dokončení celé investice.</w:t>
      </w:r>
    </w:p>
    <w:p w:rsidR="0007722C" w:rsidRDefault="0007722C" w:rsidP="0007722C">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20</w:t>
      </w:r>
      <w:r>
        <w:rPr>
          <w:noProof/>
        </w:rPr>
        <w:fldChar w:fldCharType="end"/>
      </w:r>
      <w:r>
        <w:t xml:space="preserve"> Stavební náklady na </w:t>
      </w:r>
      <w:r>
        <w:rPr>
          <w:noProof/>
        </w:rPr>
        <w:t>jednotlivé skupiny SO a PS v Kč</w:t>
      </w:r>
      <w:r>
        <w:t>, CÚ 20</w:t>
      </w:r>
      <w:r w:rsidR="009B2F32">
        <w:t>20</w:t>
      </w:r>
      <w:r>
        <w:t>, v tis. Kč</w:t>
      </w:r>
    </w:p>
    <w:p w:rsidR="0007722C" w:rsidRDefault="002006F6" w:rsidP="0007722C">
      <w:r>
        <w:rPr>
          <w:noProof/>
          <w:lang w:eastAsia="cs-CZ"/>
        </w:rPr>
        <w:fldChar w:fldCharType="begin"/>
      </w:r>
      <w:r>
        <w:rPr>
          <w:noProof/>
          <w:lang w:eastAsia="cs-CZ"/>
        </w:rPr>
        <w:instrText xml:space="preserve"> LINK Excel.Sheet.12 "\\\\Fsbn\\pd19\\19-022-233-XX_OlUS_aktualizace_EH\\Ostrava\\EH_uzel_Ostrava.xlsx!ZH!R1C1:R16C3" "" \a \p </w:instrText>
      </w:r>
      <w:r>
        <w:rPr>
          <w:noProof/>
          <w:lang w:eastAsia="cs-CZ"/>
        </w:rPr>
        <w:fldChar w:fldCharType="separate"/>
      </w:r>
      <w:r w:rsidR="00DC205F">
        <w:rPr>
          <w:noProof/>
          <w:lang w:eastAsia="cs-CZ"/>
        </w:rPr>
        <w:object w:dxaOrig="5610" w:dyaOrig="4890">
          <v:shape id="_x0000_i1029" type="#_x0000_t75" style="width:266.5pt;height:231.9pt">
            <v:imagedata r:id="rId19" o:title=""/>
            <o:lock v:ext="edit" aspectratio="f"/>
          </v:shape>
        </w:object>
      </w:r>
      <w:r>
        <w:rPr>
          <w:noProof/>
          <w:lang w:eastAsia="cs-CZ"/>
        </w:rPr>
        <w:fldChar w:fldCharType="end"/>
      </w:r>
    </w:p>
    <w:p w:rsidR="0007722C" w:rsidRPr="009E74BE" w:rsidRDefault="0007722C" w:rsidP="0007722C">
      <w:r>
        <w:t xml:space="preserve">Finanční </w:t>
      </w:r>
      <w:r w:rsidRPr="009E74BE">
        <w:t xml:space="preserve">zůstatková hodnota investice činí </w:t>
      </w:r>
      <w:r w:rsidR="009B2F32">
        <w:t>0,</w:t>
      </w:r>
      <w:r w:rsidR="0022073F">
        <w:t>6</w:t>
      </w:r>
      <w:r w:rsidRPr="009E74BE">
        <w:t xml:space="preserve"> mld. Kč, ekonomická zůstatková hodnota </w:t>
      </w:r>
      <w:r w:rsidR="009B2F32">
        <w:t>6,</w:t>
      </w:r>
      <w:r w:rsidR="00F07FDB">
        <w:t>9</w:t>
      </w:r>
      <w:r w:rsidRPr="009E74BE">
        <w:t xml:space="preserve"> mld. Kč.</w:t>
      </w:r>
    </w:p>
    <w:p w:rsidR="00722D2F" w:rsidRDefault="00722D2F" w:rsidP="00D62572">
      <w:pPr>
        <w:pStyle w:val="Nadpis2"/>
        <w:numPr>
          <w:ilvl w:val="1"/>
          <w:numId w:val="24"/>
        </w:numPr>
      </w:pPr>
      <w:bookmarkStart w:id="67" w:name="_Toc24713964"/>
      <w:bookmarkStart w:id="68" w:name="_Toc40186603"/>
      <w:r>
        <w:lastRenderedPageBreak/>
        <w:t>Finanční analýza</w:t>
      </w:r>
      <w:bookmarkEnd w:id="67"/>
      <w:bookmarkEnd w:id="68"/>
    </w:p>
    <w:p w:rsidR="00722D2F" w:rsidRDefault="00722D2F" w:rsidP="00722D2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21</w:t>
      </w:r>
      <w:r>
        <w:rPr>
          <w:noProof/>
        </w:rPr>
        <w:fldChar w:fldCharType="end"/>
      </w:r>
      <w:r>
        <w:t xml:space="preserve"> Sestava finanční analýzy, CÚ 20</w:t>
      </w:r>
      <w:r w:rsidR="00EA236D">
        <w:t>20</w:t>
      </w:r>
      <w:r>
        <w:t>, v tis. Kč</w:t>
      </w:r>
    </w:p>
    <w:p w:rsidR="00722D2F" w:rsidRPr="00E62C53" w:rsidRDefault="00F07FDB" w:rsidP="00722D2F">
      <w:r w:rsidRPr="00F07FDB">
        <w:rPr>
          <w:noProof/>
          <w:lang w:eastAsia="cs-CZ"/>
        </w:rPr>
        <w:drawing>
          <wp:inline distT="0" distB="0" distL="0" distR="0">
            <wp:extent cx="5314950" cy="57340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4950" cy="5734050"/>
                    </a:xfrm>
                    <a:prstGeom prst="rect">
                      <a:avLst/>
                    </a:prstGeom>
                    <a:noFill/>
                    <a:ln>
                      <a:noFill/>
                    </a:ln>
                  </pic:spPr>
                </pic:pic>
              </a:graphicData>
            </a:graphic>
          </wp:inline>
        </w:drawing>
      </w:r>
    </w:p>
    <w:p w:rsidR="00722D2F" w:rsidRDefault="00722D2F" w:rsidP="00722D2F">
      <w:r>
        <w:br w:type="page"/>
      </w:r>
    </w:p>
    <w:p w:rsidR="00722D2F" w:rsidRDefault="00722D2F" w:rsidP="00D62572">
      <w:pPr>
        <w:pStyle w:val="Nadpis1"/>
        <w:numPr>
          <w:ilvl w:val="0"/>
          <w:numId w:val="24"/>
        </w:numPr>
      </w:pPr>
      <w:bookmarkStart w:id="69" w:name="_Toc24713965"/>
      <w:bookmarkStart w:id="70" w:name="_Toc40186604"/>
      <w:r w:rsidRPr="00D03253">
        <w:lastRenderedPageBreak/>
        <w:t>Ekonomická</w:t>
      </w:r>
      <w:r>
        <w:t xml:space="preserve"> analýza</w:t>
      </w:r>
      <w:bookmarkEnd w:id="69"/>
      <w:bookmarkEnd w:id="70"/>
    </w:p>
    <w:p w:rsidR="00722D2F" w:rsidRPr="005E7C54" w:rsidRDefault="00722D2F" w:rsidP="00722D2F">
      <w:r w:rsidRPr="005E7C54">
        <w:t xml:space="preserve">Do ekonomické analýzy vstupují: </w:t>
      </w:r>
    </w:p>
    <w:p w:rsidR="00722D2F" w:rsidRPr="005E7C54" w:rsidRDefault="00722D2F" w:rsidP="00D62572">
      <w:pPr>
        <w:pStyle w:val="Odstavecseseznamem"/>
        <w:numPr>
          <w:ilvl w:val="0"/>
          <w:numId w:val="25"/>
        </w:numPr>
      </w:pPr>
      <w:r w:rsidRPr="005E7C54">
        <w:t xml:space="preserve">investiční náklady, </w:t>
      </w:r>
    </w:p>
    <w:p w:rsidR="00722D2F" w:rsidRPr="005E7C54" w:rsidRDefault="00722D2F" w:rsidP="00D62572">
      <w:pPr>
        <w:pStyle w:val="Odstavecseseznamem"/>
        <w:numPr>
          <w:ilvl w:val="0"/>
          <w:numId w:val="25"/>
        </w:numPr>
      </w:pPr>
      <w:r w:rsidRPr="005E7C54">
        <w:t xml:space="preserve">provozní náklady železniční dopravy (náklady na údržbu a opravy železniční infrastruktury, náklady na zaměstnance řízení dopravy, náklady na provoz vlaků), </w:t>
      </w:r>
    </w:p>
    <w:p w:rsidR="00722D2F" w:rsidRPr="005E7C54" w:rsidRDefault="00722D2F" w:rsidP="00D62572">
      <w:pPr>
        <w:pStyle w:val="Odstavecseseznamem"/>
        <w:numPr>
          <w:ilvl w:val="0"/>
          <w:numId w:val="25"/>
        </w:numPr>
      </w:pPr>
      <w:r w:rsidRPr="005E7C54">
        <w:t xml:space="preserve">provozní náklady silniční dopravy (náklady na údržbu a opravy silniční infrastruktury, náklady na provoz vozidel), </w:t>
      </w:r>
    </w:p>
    <w:p w:rsidR="00722D2F" w:rsidRPr="005E7C54" w:rsidRDefault="00722D2F" w:rsidP="00D62572">
      <w:pPr>
        <w:pStyle w:val="Odstavecseseznamem"/>
        <w:numPr>
          <w:ilvl w:val="0"/>
          <w:numId w:val="25"/>
        </w:numPr>
      </w:pPr>
      <w:r w:rsidRPr="005E7C54">
        <w:t xml:space="preserve">efekty z úspory času, </w:t>
      </w:r>
    </w:p>
    <w:p w:rsidR="00722D2F" w:rsidRDefault="00722D2F" w:rsidP="00D62572">
      <w:pPr>
        <w:pStyle w:val="Odstavecseseznamem"/>
        <w:numPr>
          <w:ilvl w:val="0"/>
          <w:numId w:val="25"/>
        </w:numPr>
      </w:pPr>
      <w:r w:rsidRPr="005E7C54">
        <w:t>vnější účinky dopravy</w:t>
      </w:r>
    </w:p>
    <w:p w:rsidR="00722D2F" w:rsidRDefault="00722D2F" w:rsidP="00D62572">
      <w:pPr>
        <w:pStyle w:val="Odstavecseseznamem"/>
        <w:numPr>
          <w:ilvl w:val="0"/>
          <w:numId w:val="25"/>
        </w:numPr>
      </w:pPr>
      <w:r>
        <w:t>přínosy ze zvýšení bezpečnosti</w:t>
      </w:r>
    </w:p>
    <w:p w:rsidR="00722D2F" w:rsidRDefault="00722D2F" w:rsidP="00D62572">
      <w:pPr>
        <w:pStyle w:val="Odstavecseseznamem"/>
        <w:numPr>
          <w:ilvl w:val="0"/>
          <w:numId w:val="25"/>
        </w:numPr>
      </w:pPr>
      <w:r>
        <w:t xml:space="preserve">ostatní přínosy </w:t>
      </w:r>
    </w:p>
    <w:p w:rsidR="00532AD8" w:rsidRPr="00D71755" w:rsidRDefault="00532AD8" w:rsidP="00D71755">
      <w:r w:rsidRPr="00D71755">
        <w:t xml:space="preserve">Výsledek </w:t>
      </w:r>
      <w:r>
        <w:t>ekonomické</w:t>
      </w:r>
      <w:r w:rsidRPr="00D71755">
        <w:t xml:space="preserve"> analýzy varianty 3 činil v rámci Studie proveditelnosti:</w:t>
      </w:r>
    </w:p>
    <w:p w:rsidR="00532AD8" w:rsidRPr="00532AD8" w:rsidRDefault="00532AD8" w:rsidP="00D71755">
      <w:pPr>
        <w:jc w:val="center"/>
        <w:rPr>
          <w:b/>
          <w:bCs/>
        </w:rPr>
      </w:pPr>
      <w:r>
        <w:rPr>
          <w:b/>
          <w:bCs/>
        </w:rPr>
        <w:t>E</w:t>
      </w:r>
      <w:r w:rsidRPr="00532AD8">
        <w:rPr>
          <w:b/>
          <w:bCs/>
        </w:rPr>
        <w:t xml:space="preserve">RR </w:t>
      </w:r>
      <w:r>
        <w:rPr>
          <w:b/>
          <w:bCs/>
        </w:rPr>
        <w:t>10,860</w:t>
      </w:r>
      <w:r w:rsidRPr="00532AD8">
        <w:rPr>
          <w:b/>
          <w:bCs/>
        </w:rPr>
        <w:t xml:space="preserve">%, </w:t>
      </w:r>
      <w:r>
        <w:rPr>
          <w:b/>
          <w:bCs/>
        </w:rPr>
        <w:t>E</w:t>
      </w:r>
      <w:r w:rsidRPr="00532AD8">
        <w:rPr>
          <w:b/>
          <w:bCs/>
        </w:rPr>
        <w:t xml:space="preserve">NPV </w:t>
      </w:r>
      <w:r>
        <w:rPr>
          <w:b/>
          <w:bCs/>
        </w:rPr>
        <w:t>6 303 993</w:t>
      </w:r>
      <w:r w:rsidRPr="00532AD8">
        <w:rPr>
          <w:b/>
          <w:bCs/>
        </w:rPr>
        <w:t xml:space="preserve"> tis. Kč.</w:t>
      </w:r>
    </w:p>
    <w:p w:rsidR="00722D2F" w:rsidRPr="002557F7" w:rsidRDefault="00722D2F" w:rsidP="00D62572">
      <w:pPr>
        <w:pStyle w:val="Nadpis2"/>
        <w:numPr>
          <w:ilvl w:val="1"/>
          <w:numId w:val="24"/>
        </w:numPr>
      </w:pPr>
      <w:bookmarkStart w:id="71" w:name="_Toc423334448"/>
      <w:bookmarkStart w:id="72" w:name="_Toc489357186"/>
      <w:bookmarkStart w:id="73" w:name="_Toc24713966"/>
      <w:bookmarkStart w:id="74" w:name="_Toc40186605"/>
      <w:r w:rsidRPr="002557F7">
        <w:t>Fiskální úpravy</w:t>
      </w:r>
      <w:bookmarkEnd w:id="71"/>
      <w:bookmarkEnd w:id="72"/>
      <w:bookmarkEnd w:id="73"/>
      <w:bookmarkEnd w:id="74"/>
      <w:r w:rsidRPr="002557F7">
        <w:t xml:space="preserve"> </w:t>
      </w:r>
    </w:p>
    <w:p w:rsidR="00722D2F" w:rsidRDefault="00722D2F" w:rsidP="00722D2F">
      <w:r w:rsidRPr="00D03108">
        <w:t xml:space="preserve">Fiskálními úpravami se rozumí úpravy kapitálových nákladů na ekonomické náklady. Úpravy se používají z důvodu odstranění daní a poplatků z dalších výpočtů. Tato fiskální úprava se týká investičních nákladů, nákladů na údržbu a opravy infrastruktury, nákladů na řízení dopravy a nákladů na provoz vlaků. </w:t>
      </w:r>
      <w:r>
        <w:t>V rámci rezortní metodiky došlo k úpravě fiskálních korektorů, jejichž porovnání je uvedeno v tabulce níže.</w:t>
      </w:r>
    </w:p>
    <w:p w:rsidR="00722D2F" w:rsidRDefault="00722D2F" w:rsidP="00722D2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22</w:t>
      </w:r>
      <w:r>
        <w:rPr>
          <w:noProof/>
        </w:rPr>
        <w:fldChar w:fldCharType="end"/>
      </w:r>
      <w:r>
        <w:t xml:space="preserve"> Porovnání fiskálních korektorů Metodika 2013 vs. Rezortní metodika</w:t>
      </w:r>
    </w:p>
    <w:p w:rsidR="00722D2F" w:rsidRDefault="00722D2F" w:rsidP="00722D2F">
      <w:r>
        <w:rPr>
          <w:noProof/>
          <w:lang w:eastAsia="cs-CZ"/>
        </w:rPr>
        <w:drawing>
          <wp:inline distT="0" distB="0" distL="0" distR="0">
            <wp:extent cx="3657600" cy="1092835"/>
            <wp:effectExtent l="0" t="0" r="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092835"/>
                    </a:xfrm>
                    <a:prstGeom prst="rect">
                      <a:avLst/>
                    </a:prstGeom>
                    <a:noFill/>
                    <a:ln>
                      <a:noFill/>
                    </a:ln>
                  </pic:spPr>
                </pic:pic>
              </a:graphicData>
            </a:graphic>
          </wp:inline>
        </w:drawing>
      </w:r>
    </w:p>
    <w:p w:rsidR="00722D2F" w:rsidRDefault="00722D2F" w:rsidP="00722D2F">
      <w:r>
        <w:rPr>
          <w:rStyle w:val="normaltextrun"/>
          <w:rFonts w:ascii="Calibri" w:hAnsi="Calibri"/>
        </w:rPr>
        <w:t>V případě takřka všech konverzních faktorů došlo v rámci Rezortní metodiky k poklesu. To znamená, že do ekonomické analýzy budou vstupovat investiční náklady s menší vahou. Stejně tak i přínosy z úspory provozních nákladů železniční infrastruktury budou v rámci ekonomické analýzy nižší. Pouze v případě úspory nákladů na provozování bude přínos do ekonomické analýzy vyšší oproti SP.</w:t>
      </w:r>
    </w:p>
    <w:p w:rsidR="00722D2F" w:rsidRDefault="00722D2F" w:rsidP="00D62572">
      <w:pPr>
        <w:pStyle w:val="Nadpis2"/>
        <w:numPr>
          <w:ilvl w:val="1"/>
          <w:numId w:val="24"/>
        </w:numPr>
      </w:pPr>
      <w:bookmarkStart w:id="75" w:name="_Toc24713967"/>
      <w:bookmarkStart w:id="76" w:name="_Toc40186606"/>
      <w:r>
        <w:t>Náklady na provoz vlaků</w:t>
      </w:r>
      <w:bookmarkEnd w:id="75"/>
      <w:bookmarkEnd w:id="76"/>
    </w:p>
    <w:p w:rsidR="00722D2F" w:rsidRDefault="00722D2F" w:rsidP="00722D2F">
      <w:r>
        <w:t>Vzhledem k tomu, že bylo ve všech projektových variantách počítáno s nárůstem objemu osobní dopravy, dojde oproti stavu bez projektu k navýšení nákladů na provoz osobních vlaků. V segmentu nákladní dopravy dojde rovněž k nárůstu poptávky. V rámci SP byly náklady na provoz vlaků vypočteny na základě jednotkových cen a dopravních výkonů vy</w:t>
      </w:r>
      <w:r w:rsidR="00CE78B2">
        <w:t>jádřených ve vlakových hodinách:</w:t>
      </w:r>
      <w:r>
        <w:t xml:space="preserve"> </w:t>
      </w:r>
    </w:p>
    <w:p w:rsidR="007B1F56" w:rsidRPr="00B4660D" w:rsidRDefault="007B1F56" w:rsidP="00D62572">
      <w:pPr>
        <w:pStyle w:val="Odstavecseseznamem"/>
        <w:numPr>
          <w:ilvl w:val="0"/>
          <w:numId w:val="27"/>
        </w:numPr>
        <w:spacing w:before="240" w:after="0" w:line="312" w:lineRule="auto"/>
        <w:rPr>
          <w:rFonts w:cs="Arial"/>
        </w:rPr>
      </w:pPr>
      <w:r>
        <w:rPr>
          <w:rFonts w:cs="Arial"/>
        </w:rPr>
        <w:t xml:space="preserve">osobní doprava, </w:t>
      </w:r>
      <w:r w:rsidRPr="00B4660D">
        <w:rPr>
          <w:rFonts w:cs="Arial"/>
        </w:rPr>
        <w:t xml:space="preserve">elektrická trakce </w:t>
      </w:r>
      <w:r w:rsidRPr="00B4660D">
        <w:rPr>
          <w:rFonts w:cs="Arial"/>
        </w:rPr>
        <w:tab/>
      </w:r>
      <w:r w:rsidRPr="00B4660D">
        <w:rPr>
          <w:rFonts w:cs="Arial"/>
        </w:rPr>
        <w:tab/>
      </w:r>
      <w:r>
        <w:rPr>
          <w:rFonts w:cs="Arial"/>
        </w:rPr>
        <w:t xml:space="preserve">4 124.4 </w:t>
      </w:r>
      <w:r w:rsidRPr="00B4660D">
        <w:rPr>
          <w:rFonts w:cs="Arial"/>
        </w:rPr>
        <w:t>Kč/vlhod (CÚ 20</w:t>
      </w:r>
      <w:r>
        <w:rPr>
          <w:rFonts w:cs="Arial"/>
        </w:rPr>
        <w:t>21</w:t>
      </w:r>
      <w:r w:rsidRPr="00B4660D">
        <w:rPr>
          <w:rFonts w:cs="Arial"/>
        </w:rPr>
        <w:t>)</w:t>
      </w:r>
    </w:p>
    <w:p w:rsidR="00722D2F" w:rsidRDefault="007B1F56" w:rsidP="00D62572">
      <w:pPr>
        <w:pStyle w:val="Odstavecseseznamem"/>
        <w:numPr>
          <w:ilvl w:val="0"/>
          <w:numId w:val="27"/>
        </w:numPr>
        <w:spacing w:before="240" w:after="0" w:line="312" w:lineRule="auto"/>
      </w:pPr>
      <w:r w:rsidRPr="00CE78B2">
        <w:rPr>
          <w:rFonts w:cs="Arial"/>
        </w:rPr>
        <w:t>nákladní doprava, elektrická trakce</w:t>
      </w:r>
      <w:r w:rsidRPr="00CE78B2">
        <w:rPr>
          <w:rFonts w:cs="Arial"/>
        </w:rPr>
        <w:tab/>
      </w:r>
      <w:r w:rsidRPr="00CE78B2">
        <w:rPr>
          <w:rFonts w:cs="Arial"/>
        </w:rPr>
        <w:tab/>
        <w:t>6 645.3 Kč/vlhod (CÚ 2021)</w:t>
      </w:r>
      <w:r w:rsidR="00CE78B2" w:rsidRPr="00CE78B2">
        <w:rPr>
          <w:rFonts w:cs="Arial"/>
        </w:rPr>
        <w:t>.</w:t>
      </w:r>
    </w:p>
    <w:p w:rsidR="00722D2F" w:rsidRDefault="00722D2F" w:rsidP="00722D2F">
      <w:r>
        <w:t xml:space="preserve">Zvýšené náklady na provoz osobní dopravy činily za celé hodnotící období </w:t>
      </w:r>
      <w:r w:rsidR="0085221B">
        <w:t>550</w:t>
      </w:r>
      <w:r>
        <w:t xml:space="preserve"> mil. Kč, </w:t>
      </w:r>
      <w:r w:rsidR="0085221B">
        <w:t>u nákladní dopravy činilo navýšení 982,4</w:t>
      </w:r>
      <w:r>
        <w:t xml:space="preserve"> mil. Kč. Celkově tedy došla k navýšení nákladů na provoz vlaků o </w:t>
      </w:r>
      <w:r w:rsidR="0085221B">
        <w:t>1 532,5</w:t>
      </w:r>
      <w:r>
        <w:t xml:space="preserve"> mil. Kč. Vyjádřeno v ekonomických cenách tento náklad činil </w:t>
      </w:r>
      <w:r w:rsidR="0085221B">
        <w:t xml:space="preserve">1 256,6 </w:t>
      </w:r>
      <w:r>
        <w:t>mil. Kč.</w:t>
      </w:r>
    </w:p>
    <w:p w:rsidR="00722D2F" w:rsidRDefault="00722D2F" w:rsidP="00722D2F">
      <w:r>
        <w:t>V aktualizaci ekonomického hodnocení byla pro výpočet nákladů na provoz vlaků „M</w:t>
      </w:r>
      <w:r w:rsidRPr="0048062E">
        <w:t>etodika stanovení nákladů na provoz vlaků vstupujících do CBA železničních projektů</w:t>
      </w:r>
      <w:r>
        <w:t xml:space="preserve"> „.</w:t>
      </w:r>
      <w:r w:rsidR="00A86277">
        <w:t xml:space="preserve"> </w:t>
      </w:r>
      <w:r>
        <w:t xml:space="preserve">Na jejím základě byly vypočteny průměrné sazby na provoz vlaků definované dvěma složkami vztažených k vlakovým hodinám a vlakovým kilometrům. </w:t>
      </w:r>
      <w:r w:rsidR="00A86277">
        <w:t xml:space="preserve">Výpočet byl proveden pouze pro nákladní dopravu a osobní regionální dopravu, protože rozsah osobní dálkové dopravy zůstává v obou posuzovaných variantách totožný. </w:t>
      </w:r>
      <w:r>
        <w:t xml:space="preserve">Nákladové </w:t>
      </w:r>
      <w:r>
        <w:lastRenderedPageBreak/>
        <w:t>sazby byly vypočteny na základě jednotkových nákladů na provoz vlaků vypočtených dle uvedené metodiky a poměrného zastoupení jednotlivých linek v segmentu regionální a dálkové dopravy.</w:t>
      </w:r>
    </w:p>
    <w:p w:rsidR="00722D2F" w:rsidRDefault="00722D2F" w:rsidP="00722D2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23</w:t>
      </w:r>
      <w:r>
        <w:rPr>
          <w:noProof/>
        </w:rPr>
        <w:fldChar w:fldCharType="end"/>
      </w:r>
      <w:r>
        <w:t xml:space="preserve"> </w:t>
      </w:r>
      <w:r w:rsidRPr="00AB496D">
        <w:t>Měrné náklady na provoz vlaků</w:t>
      </w:r>
      <w:r>
        <w:t>, CÚ 20</w:t>
      </w:r>
      <w:r w:rsidR="00753DA2">
        <w:t>20</w:t>
      </w:r>
    </w:p>
    <w:p w:rsidR="00722D2F" w:rsidRDefault="002006F6" w:rsidP="00722D2F">
      <w:r>
        <w:fldChar w:fldCharType="begin"/>
      </w:r>
      <w:r>
        <w:instrText xml:space="preserve"> LINK Excel.Sheet.12 "\\\\Fsbn\\pd19\\19-022-233-XX_OlUS_aktualizace_EH\\Ostrava\\EH_uzel_Ostrava.xlsx!Sazby_vlaky!R2C1:R19C10" "" \a \p </w:instrText>
      </w:r>
      <w:r>
        <w:fldChar w:fldCharType="separate"/>
      </w:r>
      <w:r w:rsidR="00DC205F">
        <w:object w:dxaOrig="8760" w:dyaOrig="5205">
          <v:shape id="_x0000_i1030" type="#_x0000_t75" style="width:416.1pt;height:247.8pt">
            <v:imagedata r:id="rId22" o:title=""/>
            <o:lock v:ext="edit" aspectratio="f"/>
          </v:shape>
        </w:object>
      </w:r>
      <w:r>
        <w:fldChar w:fldCharType="end"/>
      </w:r>
    </w:p>
    <w:p w:rsidR="00722D2F" w:rsidRPr="00A6769F" w:rsidRDefault="00A6769F" w:rsidP="00722D2F">
      <w:r>
        <w:rPr>
          <w:b/>
          <w:u w:val="single"/>
        </w:rPr>
        <w:t>Legenda k </w:t>
      </w:r>
      <w:r w:rsidRPr="00A6769F">
        <w:rPr>
          <w:b/>
          <w:u w:val="single"/>
        </w:rPr>
        <w:t>tabulce</w:t>
      </w:r>
      <w:r w:rsidR="00722D2F" w:rsidRPr="00A6769F">
        <w:rPr>
          <w:b/>
          <w:u w:val="single"/>
        </w:rPr>
        <w:t xml:space="preserve"> </w:t>
      </w:r>
      <w:r w:rsidRPr="00A6769F">
        <w:rPr>
          <w:b/>
          <w:u w:val="single"/>
        </w:rPr>
        <w:t>22</w:t>
      </w:r>
      <w:r w:rsidR="00722D2F" w:rsidRPr="00A6769F">
        <w:rPr>
          <w:b/>
          <w:u w:val="single"/>
        </w:rPr>
        <w:t>:</w:t>
      </w:r>
    </w:p>
    <w:p w:rsidR="00722D2F" w:rsidRPr="00A6769F" w:rsidRDefault="00722D2F" w:rsidP="00D62572">
      <w:pPr>
        <w:pStyle w:val="Odstavecseseznamem"/>
        <w:numPr>
          <w:ilvl w:val="0"/>
          <w:numId w:val="26"/>
        </w:numPr>
        <w:ind w:left="426" w:hanging="284"/>
      </w:pPr>
      <w:r w:rsidRPr="00A6769F">
        <w:t xml:space="preserve">Km jízdy – udávají </w:t>
      </w:r>
      <w:r w:rsidR="00875DC4" w:rsidRPr="00A6769F">
        <w:t>délku trasy linky</w:t>
      </w:r>
    </w:p>
    <w:p w:rsidR="00722D2F" w:rsidRDefault="00722D2F" w:rsidP="00D62572">
      <w:pPr>
        <w:pStyle w:val="Odstavecseseznamem"/>
        <w:numPr>
          <w:ilvl w:val="0"/>
          <w:numId w:val="26"/>
        </w:numPr>
        <w:ind w:left="426" w:hanging="284"/>
      </w:pPr>
      <w:r w:rsidRPr="00A6769F">
        <w:t xml:space="preserve">Min jízdy – </w:t>
      </w:r>
      <w:r w:rsidR="00875DC4" w:rsidRPr="00A6769F">
        <w:t xml:space="preserve">průměrná délka </w:t>
      </w:r>
      <w:r w:rsidR="00875DC4">
        <w:t>jízdy linky v minutách</w:t>
      </w:r>
      <w:r>
        <w:t xml:space="preserve"> </w:t>
      </w:r>
    </w:p>
    <w:p w:rsidR="00722D2F" w:rsidRDefault="00722D2F" w:rsidP="00D62572">
      <w:pPr>
        <w:pStyle w:val="Odstavecseseznamem"/>
        <w:numPr>
          <w:ilvl w:val="0"/>
          <w:numId w:val="26"/>
        </w:numPr>
        <w:ind w:left="426" w:hanging="284"/>
      </w:pPr>
      <w:r>
        <w:t>Počet vlaků – udává počet vlaků dané linky za pracovní den</w:t>
      </w:r>
    </w:p>
    <w:p w:rsidR="00722D2F" w:rsidRDefault="00722D2F" w:rsidP="00D62572">
      <w:pPr>
        <w:pStyle w:val="Odstavecseseznamem"/>
        <w:numPr>
          <w:ilvl w:val="0"/>
          <w:numId w:val="26"/>
        </w:numPr>
        <w:ind w:left="426" w:hanging="284"/>
      </w:pPr>
      <w:r>
        <w:t>Vlkm / linka – udává počet vlakokilometrů ujetý všemi vlaky dané linky za pracovní den</w:t>
      </w:r>
    </w:p>
    <w:p w:rsidR="00722D2F" w:rsidRDefault="00722D2F" w:rsidP="00D62572">
      <w:pPr>
        <w:pStyle w:val="Odstavecseseznamem"/>
        <w:numPr>
          <w:ilvl w:val="0"/>
          <w:numId w:val="26"/>
        </w:numPr>
        <w:ind w:left="426" w:hanging="284"/>
      </w:pPr>
      <w:r>
        <w:t>% vlkm linky – udává podíl linky na celkových vlakových kilometrech regionální dopravy</w:t>
      </w:r>
    </w:p>
    <w:p w:rsidR="00722D2F" w:rsidRDefault="00722D2F" w:rsidP="00D62572">
      <w:pPr>
        <w:pStyle w:val="Odstavecseseznamem"/>
        <w:numPr>
          <w:ilvl w:val="0"/>
          <w:numId w:val="26"/>
        </w:numPr>
        <w:ind w:left="426" w:hanging="284"/>
      </w:pPr>
      <w:r>
        <w:t>Kč / vlkm – nákladová sazba v Kč na vlakový kilometr vypočtená na základě vozové skladby linky</w:t>
      </w:r>
    </w:p>
    <w:p w:rsidR="00722D2F" w:rsidRDefault="00722D2F" w:rsidP="00D62572">
      <w:pPr>
        <w:pStyle w:val="Odstavecseseznamem"/>
        <w:numPr>
          <w:ilvl w:val="0"/>
          <w:numId w:val="26"/>
        </w:numPr>
        <w:ind w:left="426" w:hanging="284"/>
      </w:pPr>
      <w:r>
        <w:t>Vlhod / linka - udává počet vlakových hodin strávených v řešeném úseku všemi vlaky dané linky za pracovní den</w:t>
      </w:r>
    </w:p>
    <w:p w:rsidR="00722D2F" w:rsidRDefault="00722D2F" w:rsidP="00D62572">
      <w:pPr>
        <w:pStyle w:val="Odstavecseseznamem"/>
        <w:numPr>
          <w:ilvl w:val="0"/>
          <w:numId w:val="26"/>
        </w:numPr>
        <w:ind w:left="426" w:hanging="284"/>
      </w:pPr>
      <w:r>
        <w:t>% vlhod linky – udává podíl linky na celkových vlakových hodinách regionální dopravy</w:t>
      </w:r>
    </w:p>
    <w:p w:rsidR="00722D2F" w:rsidRDefault="00722D2F" w:rsidP="00D62572">
      <w:pPr>
        <w:pStyle w:val="Odstavecseseznamem"/>
        <w:numPr>
          <w:ilvl w:val="0"/>
          <w:numId w:val="26"/>
        </w:numPr>
        <w:ind w:left="426" w:hanging="284"/>
      </w:pPr>
      <w:r>
        <w:t>Kč / vlhod – nákladová sazba v Kč na vlakovou hodinu vypočtená na základě vozové skladby linky</w:t>
      </w:r>
    </w:p>
    <w:p w:rsidR="00722D2F" w:rsidRPr="00A6769F" w:rsidRDefault="00722D2F" w:rsidP="00722D2F">
      <w:r>
        <w:t xml:space="preserve">Kalkulace nákladových sazeb </w:t>
      </w:r>
      <w:r w:rsidRPr="00A6769F">
        <w:t>projektové a bezprojektové varianty je předmětem přílohy 3 ekonomického hodnocení.</w:t>
      </w:r>
    </w:p>
    <w:p w:rsidR="00722D2F" w:rsidRPr="00A6769F" w:rsidRDefault="00722D2F" w:rsidP="00722D2F">
      <w:r>
        <w:t xml:space="preserve">Zvýšené náklady na </w:t>
      </w:r>
      <w:r w:rsidRPr="00A6769F">
        <w:t xml:space="preserve">provoz vlaků osobní </w:t>
      </w:r>
      <w:r w:rsidR="00A86277" w:rsidRPr="00A6769F">
        <w:t xml:space="preserve">a nákladní </w:t>
      </w:r>
      <w:r w:rsidRPr="00A6769F">
        <w:t>dopravy budou činit 2,</w:t>
      </w:r>
      <w:r w:rsidR="00875DC4" w:rsidRPr="00A6769F">
        <w:t>2</w:t>
      </w:r>
      <w:r w:rsidRPr="00A6769F">
        <w:t xml:space="preserve"> mld. Kč za celé hodnotící období</w:t>
      </w:r>
      <w:r w:rsidR="00A86277" w:rsidRPr="00A6769F">
        <w:t>,</w:t>
      </w:r>
      <w:r w:rsidRPr="00A6769F">
        <w:t xml:space="preserve"> vyjádřeno v ekonomických cenách </w:t>
      </w:r>
      <w:r w:rsidR="00875DC4" w:rsidRPr="00A6769F">
        <w:t>1,</w:t>
      </w:r>
      <w:r w:rsidR="00A6769F" w:rsidRPr="00A6769F">
        <w:t>7</w:t>
      </w:r>
      <w:r w:rsidRPr="00A6769F">
        <w:t xml:space="preserve"> mld. Kč.</w:t>
      </w:r>
    </w:p>
    <w:p w:rsidR="00A86277" w:rsidRPr="00A6769F" w:rsidRDefault="00A86277" w:rsidP="00D62572">
      <w:pPr>
        <w:pStyle w:val="Nadpis2"/>
        <w:numPr>
          <w:ilvl w:val="1"/>
          <w:numId w:val="24"/>
        </w:numPr>
      </w:pPr>
      <w:bookmarkStart w:id="77" w:name="_Toc24713969"/>
      <w:bookmarkStart w:id="78" w:name="_Toc40186607"/>
      <w:r w:rsidRPr="00A6769F">
        <w:t>Přínos z úspory času</w:t>
      </w:r>
      <w:bookmarkEnd w:id="77"/>
      <w:bookmarkEnd w:id="78"/>
    </w:p>
    <w:p w:rsidR="00A86277" w:rsidRPr="00A24738" w:rsidRDefault="00A86277" w:rsidP="00A86277">
      <w:pPr>
        <w:rPr>
          <w:rFonts w:cs="Arial"/>
        </w:rPr>
      </w:pPr>
      <w:r w:rsidRPr="00A24738">
        <w:rPr>
          <w:rFonts w:cs="Arial"/>
        </w:rPr>
        <w:t xml:space="preserve">Úspory času jsou </w:t>
      </w:r>
      <w:r>
        <w:rPr>
          <w:rFonts w:cs="Arial"/>
        </w:rPr>
        <w:t>vypočteny/stanoveny</w:t>
      </w:r>
      <w:r w:rsidRPr="00A24738">
        <w:rPr>
          <w:rFonts w:cs="Arial"/>
        </w:rPr>
        <w:t xml:space="preserve"> jako úspory </w:t>
      </w:r>
      <w:r>
        <w:rPr>
          <w:rFonts w:cs="Arial"/>
        </w:rPr>
        <w:t xml:space="preserve">času </w:t>
      </w:r>
      <w:r w:rsidRPr="00A24738">
        <w:rPr>
          <w:rFonts w:cs="Arial"/>
        </w:rPr>
        <w:t>cestujících</w:t>
      </w:r>
      <w:r>
        <w:rPr>
          <w:rFonts w:cs="Arial"/>
        </w:rPr>
        <w:t>, které</w:t>
      </w:r>
      <w:r w:rsidRPr="00A24738">
        <w:rPr>
          <w:rFonts w:cs="Arial"/>
        </w:rPr>
        <w:t xml:space="preserve"> vznikají zkrácením jízdních dob vlaků vlivem realizace projektu. Dle metodiky jsou staveny zvlášť pro:</w:t>
      </w:r>
    </w:p>
    <w:p w:rsidR="00A86277" w:rsidRPr="00C33A3A" w:rsidRDefault="00A86277" w:rsidP="00D62572">
      <w:pPr>
        <w:pStyle w:val="Odstavecseseznamem"/>
        <w:numPr>
          <w:ilvl w:val="0"/>
          <w:numId w:val="29"/>
        </w:numPr>
        <w:spacing w:after="160" w:line="288" w:lineRule="auto"/>
        <w:rPr>
          <w:rFonts w:cs="Arial"/>
        </w:rPr>
      </w:pPr>
      <w:r w:rsidRPr="00C33A3A">
        <w:rPr>
          <w:rFonts w:cs="Arial"/>
        </w:rPr>
        <w:t>stálé cestující, převedené cestující z veřejné hromadné dopravy na železniční,</w:t>
      </w:r>
    </w:p>
    <w:p w:rsidR="00A86277" w:rsidRPr="00C33A3A" w:rsidRDefault="00A86277" w:rsidP="00D62572">
      <w:pPr>
        <w:pStyle w:val="Odstavecseseznamem"/>
        <w:numPr>
          <w:ilvl w:val="0"/>
          <w:numId w:val="29"/>
        </w:numPr>
        <w:spacing w:after="160" w:line="288" w:lineRule="auto"/>
        <w:rPr>
          <w:rFonts w:cs="Arial"/>
        </w:rPr>
      </w:pPr>
      <w:r w:rsidRPr="00C33A3A">
        <w:rPr>
          <w:rFonts w:cs="Arial"/>
        </w:rPr>
        <w:t>převeden</w:t>
      </w:r>
      <w:r>
        <w:rPr>
          <w:rFonts w:cs="Arial"/>
        </w:rPr>
        <w:t>ou</w:t>
      </w:r>
      <w:r w:rsidRPr="00C33A3A">
        <w:rPr>
          <w:rFonts w:cs="Arial"/>
        </w:rPr>
        <w:t xml:space="preserve"> doprav</w:t>
      </w:r>
      <w:r>
        <w:rPr>
          <w:rFonts w:cs="Arial"/>
        </w:rPr>
        <w:t>u</w:t>
      </w:r>
      <w:r w:rsidRPr="00C33A3A">
        <w:rPr>
          <w:rFonts w:cs="Arial"/>
        </w:rPr>
        <w:t xml:space="preserve"> z individuální automobilové dopravy na železniční dopravu a</w:t>
      </w:r>
    </w:p>
    <w:p w:rsidR="00A86277" w:rsidRDefault="00A86277" w:rsidP="00D62572">
      <w:pPr>
        <w:pStyle w:val="Odstavecseseznamem"/>
        <w:numPr>
          <w:ilvl w:val="0"/>
          <w:numId w:val="29"/>
        </w:numPr>
        <w:spacing w:after="160" w:line="288" w:lineRule="auto"/>
        <w:rPr>
          <w:rFonts w:cs="Arial"/>
        </w:rPr>
      </w:pPr>
      <w:r w:rsidRPr="00C33A3A">
        <w:rPr>
          <w:rFonts w:cs="Arial"/>
        </w:rPr>
        <w:t>nově vzniklou indukovanou dopravu.</w:t>
      </w:r>
    </w:p>
    <w:p w:rsidR="00A86277" w:rsidRPr="00A86277" w:rsidRDefault="00A86277" w:rsidP="00A86277">
      <w:pPr>
        <w:rPr>
          <w:rFonts w:cs="Arial"/>
        </w:rPr>
      </w:pPr>
      <w:r w:rsidRPr="00A86277">
        <w:rPr>
          <w:rFonts w:cs="Arial"/>
        </w:rPr>
        <w:t xml:space="preserve">Celková úspora za celé hodnotící období </w:t>
      </w:r>
      <w:r>
        <w:rPr>
          <w:rFonts w:cs="Arial"/>
        </w:rPr>
        <w:t>činila pro variantu 3 v rámci SP</w:t>
      </w:r>
      <w:r w:rsidRPr="00A86277">
        <w:rPr>
          <w:rFonts w:cs="Arial"/>
        </w:rPr>
        <w:t xml:space="preserve"> 4</w:t>
      </w:r>
      <w:r>
        <w:rPr>
          <w:rFonts w:cs="Arial"/>
        </w:rPr>
        <w:t>,</w:t>
      </w:r>
      <w:r w:rsidRPr="00A86277">
        <w:rPr>
          <w:rFonts w:cs="Arial"/>
        </w:rPr>
        <w:t>35</w:t>
      </w:r>
      <w:r>
        <w:rPr>
          <w:rFonts w:cs="Arial"/>
        </w:rPr>
        <w:t xml:space="preserve"> mld</w:t>
      </w:r>
      <w:r w:rsidRPr="00A86277">
        <w:rPr>
          <w:rFonts w:cs="Arial"/>
        </w:rPr>
        <w:t>. Kč.</w:t>
      </w:r>
    </w:p>
    <w:p w:rsidR="000217CF" w:rsidRDefault="00A86277" w:rsidP="00A86277">
      <w:pPr>
        <w:sectPr w:rsidR="000217CF" w:rsidSect="00713A49">
          <w:headerReference w:type="default" r:id="rId23"/>
          <w:footerReference w:type="default" r:id="rId24"/>
          <w:pgSz w:w="11906" w:h="16838"/>
          <w:pgMar w:top="1417" w:right="1417" w:bottom="1417" w:left="1417" w:header="708" w:footer="708" w:gutter="0"/>
          <w:cols w:space="708"/>
          <w:docGrid w:linePitch="360"/>
        </w:sectPr>
      </w:pPr>
      <w:r>
        <w:t xml:space="preserve">Rezortní metodika </w:t>
      </w:r>
      <w:r w:rsidRPr="0063192C">
        <w:t xml:space="preserve">aktualizovala měrné hodnoty uspořeného času, což vedlo k jejich poklesu průměrně o cca 34%. Tato skutečnost společně se zkrácením hodnotícího období má za následek pokles přínosů z úspory času na </w:t>
      </w:r>
      <w:r w:rsidR="00875DC4" w:rsidRPr="0063192C">
        <w:t>4,0</w:t>
      </w:r>
      <w:r w:rsidRPr="0063192C">
        <w:t xml:space="preserve"> mld. Kč za celé hodnotící období. Výpočet časových úspor v rozdělení na stávající, převedenou a indukovanou dopravu </w:t>
      </w:r>
      <w:r>
        <w:t>je uveden níže.</w:t>
      </w:r>
    </w:p>
    <w:p w:rsidR="00A86277" w:rsidRDefault="00A86277" w:rsidP="00A86277">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24</w:t>
      </w:r>
      <w:r>
        <w:rPr>
          <w:noProof/>
        </w:rPr>
        <w:fldChar w:fldCharType="end"/>
      </w:r>
      <w:r>
        <w:t xml:space="preserve"> </w:t>
      </w:r>
      <w:r w:rsidRPr="00CC4DEB">
        <w:t>Výpočet přínosů z úspory času v tis. Kč, CÚ 20</w:t>
      </w:r>
      <w:r w:rsidR="000217CF">
        <w:t>20</w:t>
      </w:r>
    </w:p>
    <w:p w:rsidR="000217CF" w:rsidRDefault="00C449A4" w:rsidP="00A86277">
      <w:pPr>
        <w:pStyle w:val="Titulek"/>
      </w:pPr>
      <w:r>
        <w:fldChar w:fldCharType="begin"/>
      </w:r>
      <w:r>
        <w:instrText xml:space="preserve"> LINK Excel.Sheet.12 "\\\\Fsbn\\pd19\\19-022-233-XX_OlUS_aktualizace_EH\\Ostrava\\EH_uzel_Ostrava.xlsx!Cas!R1C1:R33C10" "" \a \p </w:instrText>
      </w:r>
      <w:r>
        <w:fldChar w:fldCharType="separate"/>
      </w:r>
      <w:r w:rsidR="00DC205F">
        <w:object w:dxaOrig="11745" w:dyaOrig="7035">
          <v:shape id="_x0000_i1031" type="#_x0000_t75" style="width:554.5pt;height:331.95pt">
            <v:imagedata r:id="rId25" o:title=""/>
            <o:lock v:ext="edit" aspectratio="f"/>
          </v:shape>
        </w:object>
      </w:r>
      <w:r>
        <w:fldChar w:fldCharType="end"/>
      </w:r>
    </w:p>
    <w:p w:rsidR="000217CF" w:rsidRPr="000217CF" w:rsidRDefault="000217CF" w:rsidP="000217CF">
      <w:pPr>
        <w:sectPr w:rsidR="000217CF" w:rsidRPr="000217CF" w:rsidSect="000217CF">
          <w:pgSz w:w="16838" w:h="11906" w:orient="landscape"/>
          <w:pgMar w:top="1417" w:right="1417" w:bottom="1417" w:left="1417" w:header="708" w:footer="708" w:gutter="0"/>
          <w:cols w:space="708"/>
          <w:docGrid w:linePitch="360"/>
        </w:sectPr>
      </w:pPr>
    </w:p>
    <w:p w:rsidR="00A86277" w:rsidRPr="00D97E47" w:rsidRDefault="00A86277" w:rsidP="00D62572">
      <w:pPr>
        <w:pStyle w:val="Nadpis2"/>
        <w:numPr>
          <w:ilvl w:val="1"/>
          <w:numId w:val="24"/>
        </w:numPr>
      </w:pPr>
      <w:bookmarkStart w:id="79" w:name="_Toc24713972"/>
      <w:bookmarkStart w:id="80" w:name="_Toc40186608"/>
      <w:r w:rsidRPr="00D97E47">
        <w:lastRenderedPageBreak/>
        <w:t>Přínosy z úspor vnějších účinků dopravy</w:t>
      </w:r>
      <w:bookmarkEnd w:id="79"/>
      <w:bookmarkEnd w:id="80"/>
      <w:r w:rsidRPr="00D97E47">
        <w:t xml:space="preserve"> </w:t>
      </w:r>
    </w:p>
    <w:p w:rsidR="00A86277" w:rsidRDefault="00A86277" w:rsidP="00A86277">
      <w:r>
        <w:t>V ekonomickém hodnocení je zohledněn dopad realizace projektu na náklady související s vedlejšími negativními účinky dopravy. Ty vznikají při přesunu cestujících z jednoho dopravního módu na jiný či indukcí cestujících. Po dokončení modernizace tratě bude docházet k oběma těmto jevům.</w:t>
      </w:r>
    </w:p>
    <w:p w:rsidR="00A86277" w:rsidRDefault="00A86277" w:rsidP="00A86277">
      <w:r>
        <w:t xml:space="preserve">Tyto účinky zahrnují: </w:t>
      </w:r>
    </w:p>
    <w:p w:rsidR="00A86277" w:rsidRDefault="00A86277" w:rsidP="00D62572">
      <w:pPr>
        <w:pStyle w:val="Odstavecseseznamem"/>
        <w:numPr>
          <w:ilvl w:val="0"/>
          <w:numId w:val="28"/>
        </w:numPr>
      </w:pPr>
      <w:r>
        <w:t xml:space="preserve">nehodovost v dopravě, </w:t>
      </w:r>
    </w:p>
    <w:p w:rsidR="00A86277" w:rsidRDefault="00A86277" w:rsidP="00D62572">
      <w:pPr>
        <w:pStyle w:val="Odstavecseseznamem"/>
        <w:numPr>
          <w:ilvl w:val="0"/>
          <w:numId w:val="28"/>
        </w:numPr>
      </w:pPr>
      <w:r>
        <w:t xml:space="preserve">hlučnost z dopravy, </w:t>
      </w:r>
    </w:p>
    <w:p w:rsidR="00A86277" w:rsidRDefault="00A86277" w:rsidP="00D62572">
      <w:pPr>
        <w:pStyle w:val="Odstavecseseznamem"/>
        <w:numPr>
          <w:ilvl w:val="0"/>
          <w:numId w:val="28"/>
        </w:numPr>
      </w:pPr>
      <w:r>
        <w:t xml:space="preserve">emise z dopravy, </w:t>
      </w:r>
    </w:p>
    <w:p w:rsidR="00A86277" w:rsidRDefault="00A86277" w:rsidP="00D62572">
      <w:pPr>
        <w:pStyle w:val="Odstavecseseznamem"/>
        <w:numPr>
          <w:ilvl w:val="0"/>
          <w:numId w:val="28"/>
        </w:numPr>
      </w:pPr>
      <w:r>
        <w:t xml:space="preserve">změny klimatu. </w:t>
      </w:r>
    </w:p>
    <w:p w:rsidR="00A86277" w:rsidRDefault="00A86277" w:rsidP="00A86277">
      <w:r>
        <w:t xml:space="preserve">V SP byla úspora těchto negativních externalit oceněna na základě Prováděcích pokynů z roku 2013. Jednotlivé externality byly oceněny na základě množství převedených osobových </w:t>
      </w:r>
      <w:r w:rsidR="00713A49">
        <w:t xml:space="preserve">a tunových </w:t>
      </w:r>
      <w:r>
        <w:t xml:space="preserve">kilometrů a nákladových sazeb vztažených k oskm. Celkové přínosy z úspory externalit činily za celé hodnotící období </w:t>
      </w:r>
      <w:r w:rsidR="00713A49">
        <w:t>19,2</w:t>
      </w:r>
      <w:r>
        <w:t xml:space="preserve"> mld. Kč.</w:t>
      </w:r>
    </w:p>
    <w:p w:rsidR="00A86277" w:rsidRDefault="00A86277" w:rsidP="00A86277">
      <w:r>
        <w:t>Nově rezortní metodika mění postup pro ocenění těchto přínosů. V případě snížení nehodovosti a hluku tato změna spočívá ve změně nákladové sazby, přičemž v obou případech dochází ke snížení této sazby. V rámci vyčíslení dopadů plynoucích z emise skleníkových a znečištění životního prostředí rezortní metodika zavádí odlišný přístup k výpočtu. Výpočet je proveden ve třech krocích (1. stanovení dopravních výkonů v jednotlivých segmentech dopravy; 2. stanovení množství emitovaných / ušetřených tun polutantů; CO</w:t>
      </w:r>
      <w:r w:rsidRPr="007C5DF2">
        <w:rPr>
          <w:vertAlign w:val="subscript"/>
        </w:rPr>
        <w:t>2</w:t>
      </w:r>
      <w:r>
        <w:t xml:space="preserve"> a 3. ocenění polutantů, CO</w:t>
      </w:r>
      <w:r w:rsidRPr="007C5DF2">
        <w:rPr>
          <w:vertAlign w:val="subscript"/>
        </w:rPr>
        <w:t>2</w:t>
      </w:r>
      <w:r>
        <w:t xml:space="preserve"> pomocí jednotkových nákladů na tunu). V rámci výpočtu tak dochází nejen k ocenění samotné externality, ale rovněž i k výpočtu množství emitovaných polutantů a skleníkových plynů.</w:t>
      </w:r>
    </w:p>
    <w:p w:rsidR="00A86277" w:rsidRDefault="00A86277" w:rsidP="00A86277">
      <w:r>
        <w:t xml:space="preserve">Celkové přínosy z úspory externalit činí </w:t>
      </w:r>
      <w:r w:rsidR="0086464C">
        <w:t>5,</w:t>
      </w:r>
      <w:r w:rsidR="0063192C">
        <w:t>9</w:t>
      </w:r>
      <w:r>
        <w:t xml:space="preserve"> mld. Kč, oproti SP tak došlo k poklesu o </w:t>
      </w:r>
      <w:r w:rsidR="0086464C">
        <w:t>13,3</w:t>
      </w:r>
      <w:r>
        <w:t xml:space="preserve"> mld. Kč a to zejména z důvodu zkrácení hodnotícího období a druhotně změnou měrných nákladů externalit.</w:t>
      </w:r>
    </w:p>
    <w:p w:rsidR="0086464C" w:rsidRDefault="0086464C" w:rsidP="00A86277">
      <w:pPr>
        <w:sectPr w:rsidR="0086464C">
          <w:headerReference w:type="default" r:id="rId26"/>
          <w:pgSz w:w="11906" w:h="16838"/>
          <w:pgMar w:top="1417" w:right="1417" w:bottom="1417" w:left="1417" w:header="708" w:footer="708" w:gutter="0"/>
          <w:cols w:space="708"/>
          <w:docGrid w:linePitch="360"/>
        </w:sectPr>
      </w:pPr>
    </w:p>
    <w:p w:rsidR="00A86277" w:rsidRDefault="00A86277" w:rsidP="00A86277">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25</w:t>
      </w:r>
      <w:r>
        <w:rPr>
          <w:noProof/>
        </w:rPr>
        <w:fldChar w:fldCharType="end"/>
      </w:r>
      <w:r>
        <w:t xml:space="preserve"> </w:t>
      </w:r>
      <w:r w:rsidRPr="002F23FF">
        <w:t xml:space="preserve">Přínosy z úspory externalit dopravy </w:t>
      </w:r>
      <w:r w:rsidR="0009229A">
        <w:t xml:space="preserve">– nehodovost, hluk </w:t>
      </w:r>
      <w:r w:rsidRPr="002F23FF">
        <w:t>v tis. Kč, CÚ 20</w:t>
      </w:r>
      <w:r w:rsidR="0009229A">
        <w:t>20</w:t>
      </w:r>
    </w:p>
    <w:p w:rsidR="000217CF" w:rsidRDefault="0009229A" w:rsidP="000217CF">
      <w:r>
        <w:fldChar w:fldCharType="begin"/>
      </w:r>
      <w:r>
        <w:instrText xml:space="preserve"> LINK Excel.Sheet.12 "\\\\Fsbn\\pd19\\19-022-233-XX_OlUS_aktualizace_EH\\Ostrava\\EH_uzel_Ostrava.xlsx!Nehod+hluk!R7C39:R39C55" "" \a \p </w:instrText>
      </w:r>
      <w:r>
        <w:fldChar w:fldCharType="separate"/>
      </w:r>
      <w:r w:rsidR="00DC205F">
        <w:object w:dxaOrig="16245" w:dyaOrig="7875">
          <v:shape id="_x0000_i1032" type="#_x0000_t75" style="width:691pt;height:331.95pt">
            <v:imagedata r:id="rId27" o:title=""/>
          </v:shape>
        </w:object>
      </w:r>
      <w:r>
        <w:fldChar w:fldCharType="end"/>
      </w:r>
    </w:p>
    <w:p w:rsidR="0009229A" w:rsidRDefault="0009229A" w:rsidP="0009229A">
      <w:pPr>
        <w:pStyle w:val="Titulek"/>
        <w:keepNext/>
      </w:pPr>
      <w:r>
        <w:lastRenderedPageBreak/>
        <w:t xml:space="preserve">Tabulka </w:t>
      </w:r>
      <w:r w:rsidR="00D80C80">
        <w:rPr>
          <w:noProof/>
        </w:rPr>
        <w:fldChar w:fldCharType="begin"/>
      </w:r>
      <w:r w:rsidR="00D80C80">
        <w:rPr>
          <w:noProof/>
        </w:rPr>
        <w:instrText xml:space="preserve"> SEQ Tabulka \* ARABIC </w:instrText>
      </w:r>
      <w:r w:rsidR="00D80C80">
        <w:rPr>
          <w:noProof/>
        </w:rPr>
        <w:fldChar w:fldCharType="separate"/>
      </w:r>
      <w:r w:rsidR="00EF042C">
        <w:rPr>
          <w:noProof/>
        </w:rPr>
        <w:t>26</w:t>
      </w:r>
      <w:r w:rsidR="00D80C80">
        <w:rPr>
          <w:noProof/>
        </w:rPr>
        <w:fldChar w:fldCharType="end"/>
      </w:r>
      <w:r>
        <w:t xml:space="preserve"> </w:t>
      </w:r>
      <w:r w:rsidRPr="00921E26">
        <w:t xml:space="preserve">Přínosy z úspory externalit dopravy – </w:t>
      </w:r>
      <w:r>
        <w:t xml:space="preserve">emise a znečištění ovzduší </w:t>
      </w:r>
      <w:r w:rsidRPr="00921E26">
        <w:t>v tis. Kč, CÚ 2020</w:t>
      </w:r>
    </w:p>
    <w:p w:rsidR="00B3041B" w:rsidRDefault="00B3041B" w:rsidP="000217CF">
      <w:r>
        <w:fldChar w:fldCharType="begin"/>
      </w:r>
      <w:r>
        <w:instrText xml:space="preserve"> LINK Excel.Sheet.12 "\\\\Fsbn\\pd19\\19-022-233-XX_OlUS_aktualizace_EH\\Ostrava\\EH_uzel_Ostrava.xlsx!Emise!R39C1:R71C14" "" \a \p </w:instrText>
      </w:r>
      <w:r>
        <w:fldChar w:fldCharType="separate"/>
      </w:r>
      <w:r w:rsidR="00DC205F">
        <w:object w:dxaOrig="14685" w:dyaOrig="7875">
          <v:shape id="_x0000_i1033" type="#_x0000_t75" style="width:662.05pt;height:352.5pt">
            <v:imagedata r:id="rId28" o:title=""/>
            <o:lock v:ext="edit" aspectratio="f"/>
          </v:shape>
        </w:object>
      </w:r>
      <w:r>
        <w:fldChar w:fldCharType="end"/>
      </w:r>
    </w:p>
    <w:p w:rsidR="0086464C" w:rsidRDefault="0086464C" w:rsidP="000217CF">
      <w:pPr>
        <w:sectPr w:rsidR="0086464C" w:rsidSect="0086464C">
          <w:pgSz w:w="16838" w:h="11906" w:orient="landscape"/>
          <w:pgMar w:top="1417" w:right="1417" w:bottom="1417" w:left="1417" w:header="708" w:footer="708" w:gutter="0"/>
          <w:cols w:space="708"/>
          <w:docGrid w:linePitch="360"/>
        </w:sectPr>
      </w:pPr>
    </w:p>
    <w:p w:rsidR="00B364CF" w:rsidRDefault="00B364CF" w:rsidP="00D62572">
      <w:pPr>
        <w:pStyle w:val="Nadpis2"/>
        <w:numPr>
          <w:ilvl w:val="1"/>
          <w:numId w:val="24"/>
        </w:numPr>
      </w:pPr>
      <w:bookmarkStart w:id="81" w:name="_Toc24713978"/>
      <w:bookmarkStart w:id="82" w:name="_Toc40186609"/>
      <w:r>
        <w:lastRenderedPageBreak/>
        <w:t>Sestava ekonomické analýzy</w:t>
      </w:r>
      <w:bookmarkEnd w:id="81"/>
      <w:bookmarkEnd w:id="82"/>
    </w:p>
    <w:p w:rsidR="00B364CF" w:rsidRDefault="00B364CF" w:rsidP="00B364C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27</w:t>
      </w:r>
      <w:r>
        <w:rPr>
          <w:noProof/>
        </w:rPr>
        <w:fldChar w:fldCharType="end"/>
      </w:r>
      <w:r>
        <w:t xml:space="preserve"> Výpočet ekonomické efektivnosti v tis. Kč, CÚ 2020</w:t>
      </w:r>
    </w:p>
    <w:p w:rsidR="00B364CF" w:rsidRDefault="00F07FDB" w:rsidP="00B364CF">
      <w:r w:rsidRPr="00F07FDB">
        <w:rPr>
          <w:noProof/>
          <w:lang w:eastAsia="cs-CZ"/>
        </w:rPr>
        <w:drawing>
          <wp:inline distT="0" distB="0" distL="0" distR="0">
            <wp:extent cx="6667500" cy="5239994"/>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94111" cy="5260907"/>
                    </a:xfrm>
                    <a:prstGeom prst="rect">
                      <a:avLst/>
                    </a:prstGeom>
                    <a:noFill/>
                    <a:ln>
                      <a:noFill/>
                    </a:ln>
                  </pic:spPr>
                </pic:pic>
              </a:graphicData>
            </a:graphic>
          </wp:inline>
        </w:drawing>
      </w:r>
    </w:p>
    <w:p w:rsidR="00B364CF" w:rsidRDefault="00B364CF" w:rsidP="00B364CF">
      <w:pPr>
        <w:sectPr w:rsidR="00B364CF" w:rsidSect="00D80C80">
          <w:pgSz w:w="16838" w:h="11906" w:orient="landscape"/>
          <w:pgMar w:top="1417" w:right="1417" w:bottom="1417" w:left="1417" w:header="708" w:footer="708" w:gutter="0"/>
          <w:cols w:space="708"/>
          <w:docGrid w:linePitch="360"/>
        </w:sectPr>
      </w:pPr>
    </w:p>
    <w:p w:rsidR="00B364CF" w:rsidRDefault="00B364CF" w:rsidP="00D62572">
      <w:pPr>
        <w:pStyle w:val="Nadpis1"/>
        <w:numPr>
          <w:ilvl w:val="0"/>
          <w:numId w:val="24"/>
        </w:numPr>
      </w:pPr>
      <w:bookmarkStart w:id="83" w:name="_Toc24713979"/>
      <w:bookmarkStart w:id="84" w:name="_Toc40186610"/>
      <w:r>
        <w:lastRenderedPageBreak/>
        <w:t>Shrnutí výsledků finanční a ekonomické analýzy</w:t>
      </w:r>
      <w:bookmarkEnd w:id="83"/>
      <w:bookmarkEnd w:id="84"/>
    </w:p>
    <w:p w:rsidR="00B364CF" w:rsidRDefault="00B364CF" w:rsidP="00B364CF">
      <w:r>
        <w:t>Oproti SP dochází u ekonomické analýzy ke změně diskontní sazby z 5,5% na 5,0% a u finanční analýzy z 5,0% na 4,0%, což vede k vyšší hodnotě ukazatele čisté současné hodnoty.</w:t>
      </w:r>
    </w:p>
    <w:p w:rsidR="00B364CF" w:rsidRDefault="00B364CF" w:rsidP="00B364C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28</w:t>
      </w:r>
      <w:r>
        <w:rPr>
          <w:noProof/>
        </w:rPr>
        <w:fldChar w:fldCharType="end"/>
      </w:r>
      <w:r>
        <w:t xml:space="preserve"> Výsledky ekonomického hodnocení, v</w:t>
      </w:r>
      <w:r w:rsidR="0063192C">
        <w:t> </w:t>
      </w:r>
      <w:r>
        <w:t>tis</w:t>
      </w:r>
      <w:r w:rsidR="0063192C">
        <w:t>.</w:t>
      </w:r>
      <w:r>
        <w:t xml:space="preserve"> Kč</w:t>
      </w:r>
    </w:p>
    <w:p w:rsidR="00B364CF" w:rsidRDefault="00960D3B" w:rsidP="00B364CF">
      <w:r w:rsidRPr="00960D3B">
        <w:drawing>
          <wp:inline distT="0" distB="0" distL="0" distR="0">
            <wp:extent cx="3836035" cy="79565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36035" cy="795655"/>
                    </a:xfrm>
                    <a:prstGeom prst="rect">
                      <a:avLst/>
                    </a:prstGeom>
                    <a:noFill/>
                    <a:ln>
                      <a:noFill/>
                    </a:ln>
                  </pic:spPr>
                </pic:pic>
              </a:graphicData>
            </a:graphic>
          </wp:inline>
        </w:drawing>
      </w:r>
    </w:p>
    <w:p w:rsidR="00B364CF" w:rsidRDefault="00B364CF" w:rsidP="00B364CF">
      <w:r>
        <w:t>Oproti výsledkům ekonomického hodnocení zpracovaného ve studii proveditelnosti došlo k poklesu ukazatelů finanční a ekonomické efektivity projektu. Nejvýrazněji se na změnách ekonomického hodnocení podílí:</w:t>
      </w:r>
    </w:p>
    <w:p w:rsidR="00B364CF" w:rsidRDefault="00B364CF" w:rsidP="00D62572">
      <w:pPr>
        <w:pStyle w:val="Odstavecseseznamem"/>
        <w:numPr>
          <w:ilvl w:val="0"/>
          <w:numId w:val="32"/>
        </w:numPr>
      </w:pPr>
      <w:r>
        <w:t xml:space="preserve">zkrácení hodnotícího období a tím i zkrácená provozní fáze projektu, po kterou jsou započítávány přínosy z jeho realizace </w:t>
      </w:r>
    </w:p>
    <w:p w:rsidR="00B364CF" w:rsidRPr="00FF63B5" w:rsidRDefault="00B364CF" w:rsidP="00D62572">
      <w:pPr>
        <w:pStyle w:val="Odstavecseseznamem"/>
        <w:numPr>
          <w:ilvl w:val="0"/>
          <w:numId w:val="32"/>
        </w:numPr>
      </w:pPr>
      <w:r>
        <w:t xml:space="preserve">navýšení investičních nákladů </w:t>
      </w:r>
      <w:r w:rsidRPr="00FF63B5">
        <w:t xml:space="preserve">projektu o </w:t>
      </w:r>
      <w:r w:rsidR="002006F6">
        <w:t>13,1</w:t>
      </w:r>
      <w:r w:rsidRPr="00FF63B5">
        <w:t xml:space="preserve"> mld. Kč včetně rezervy</w:t>
      </w:r>
    </w:p>
    <w:p w:rsidR="00B364CF" w:rsidRDefault="00B364CF" w:rsidP="00D62572">
      <w:pPr>
        <w:pStyle w:val="Odstavecseseznamem"/>
        <w:numPr>
          <w:ilvl w:val="0"/>
          <w:numId w:val="32"/>
        </w:numPr>
      </w:pPr>
      <w:r w:rsidRPr="00FF63B5">
        <w:t xml:space="preserve">změna harmonogramu realizace stavby, kdy v původním </w:t>
      </w:r>
      <w:r>
        <w:t>ekonomickém hodnocení bylo uvažováno s</w:t>
      </w:r>
      <w:r w:rsidR="00F70091">
        <w:t> výstavbou v délce trvání 4 roky, nyní je realizace uvažována v trvání 7 let</w:t>
      </w:r>
    </w:p>
    <w:p w:rsidR="00B364CF" w:rsidRDefault="00B364CF" w:rsidP="00D62572">
      <w:pPr>
        <w:pStyle w:val="Odstavecseseznamem"/>
        <w:numPr>
          <w:ilvl w:val="0"/>
          <w:numId w:val="32"/>
        </w:numPr>
      </w:pPr>
      <w:r>
        <w:t>pokles měrné hodnoty uspořeného času</w:t>
      </w:r>
    </w:p>
    <w:p w:rsidR="00B364CF" w:rsidRDefault="00B364CF" w:rsidP="00D62572">
      <w:pPr>
        <w:pStyle w:val="Odstavecseseznamem"/>
        <w:numPr>
          <w:ilvl w:val="0"/>
          <w:numId w:val="32"/>
        </w:numPr>
      </w:pPr>
      <w:r>
        <w:t>pokles měrné hodnoty uspořených externalit a změna způsobu jejich výpočtu</w:t>
      </w:r>
    </w:p>
    <w:p w:rsidR="00B364CF" w:rsidRDefault="00B364CF" w:rsidP="00D62572">
      <w:pPr>
        <w:pStyle w:val="Odstavecseseznamem"/>
        <w:numPr>
          <w:ilvl w:val="0"/>
          <w:numId w:val="32"/>
        </w:numPr>
      </w:pPr>
      <w:r>
        <w:t>pokles konverzních faktorů, který má za následek pokles ekonomické hodnoty některých přínosů projektu</w:t>
      </w:r>
    </w:p>
    <w:p w:rsidR="00B364CF" w:rsidRDefault="00B364CF" w:rsidP="00D62572">
      <w:pPr>
        <w:pStyle w:val="Odstavecseseznamem"/>
        <w:numPr>
          <w:ilvl w:val="0"/>
          <w:numId w:val="32"/>
        </w:numPr>
      </w:pPr>
      <w:r>
        <w:t>změna metodiky výpočtu nákladů na provoz vlaků</w:t>
      </w:r>
    </w:p>
    <w:p w:rsidR="00B364CF" w:rsidRDefault="00B364CF" w:rsidP="00B364CF">
      <w:r>
        <w:t>Ne všechny změny, které byly provedeny ať už z metodických či technických důvodů jsou negativní. Kladně se do ekonomické efektivity stavby promítly tyto změny:</w:t>
      </w:r>
    </w:p>
    <w:p w:rsidR="00B364CF" w:rsidRDefault="00B364CF" w:rsidP="00D62572">
      <w:pPr>
        <w:pStyle w:val="Odstavecseseznamem"/>
        <w:numPr>
          <w:ilvl w:val="0"/>
          <w:numId w:val="32"/>
        </w:numPr>
      </w:pPr>
      <w:r>
        <w:t>Zkrácení hodnotícího období mělo kromě negativního dopadu ve zkrácení doby pro započítání přínosů stavby též kladný dopad v omezení potřeby reinvestic projektové varianty</w:t>
      </w:r>
    </w:p>
    <w:p w:rsidR="00B364CF" w:rsidRDefault="00B364CF" w:rsidP="00D62572">
      <w:pPr>
        <w:pStyle w:val="Odstavecseseznamem"/>
        <w:numPr>
          <w:ilvl w:val="0"/>
          <w:numId w:val="32"/>
        </w:numPr>
      </w:pPr>
      <w:r>
        <w:t>změna konverzních faktorů se stejně jako zkrácení hodnotícího období projeví i kladně a to v případě konverze investičních nákladů, které budou díky nižšímu konverznímu faktoru vstupovat do ekonomické analýzy s nižší hodnotou</w:t>
      </w:r>
    </w:p>
    <w:p w:rsidR="00B364CF" w:rsidRDefault="00B364CF" w:rsidP="00D62572">
      <w:pPr>
        <w:pStyle w:val="Odstavecseseznamem"/>
        <w:numPr>
          <w:ilvl w:val="0"/>
          <w:numId w:val="32"/>
        </w:numPr>
      </w:pPr>
      <w:r>
        <w:t>změna výpočtu příjmů z poplatku za dopravní cestu by pak měla mít za následek vyšší příjmy provozovatele infrastruktury, než bylo uvažováno v původní SP</w:t>
      </w:r>
    </w:p>
    <w:p w:rsidR="00B364CF" w:rsidRDefault="00B364CF" w:rsidP="00D62572">
      <w:pPr>
        <w:pStyle w:val="Odstavecseseznamem"/>
        <w:numPr>
          <w:ilvl w:val="0"/>
          <w:numId w:val="32"/>
        </w:numPr>
      </w:pPr>
      <w:r>
        <w:t xml:space="preserve">pokles diskontních sazeb finanční a ekonomické analýzy se sice neprojevuje změnou ekonomické efektivity vyjádřené mírou návratnosti (RR), nicméně díky nižší hodnotě diskontní sazby dosahuje investice lepších výsledků v ukazateli čisté současné hodnoty (NPV), než by dosahovala s v minulosti platnou diskontní sazbou 5,5%. To bude znamenat vyšší přepínací hodnotu ekonomické efektivity stavby a tedy i vyšší stabilitu projektu z hlediska zachování absolutní ekonomické efektivity vyjádřené požadavkem ENPV &gt; 0.  </w:t>
      </w:r>
    </w:p>
    <w:p w:rsidR="00B364CF" w:rsidRDefault="00B364CF" w:rsidP="00B364CF">
      <w:r>
        <w:t xml:space="preserve">Porovnání ekonomické efektivity varianty </w:t>
      </w:r>
      <w:r w:rsidR="00F70091">
        <w:t>3</w:t>
      </w:r>
      <w:r>
        <w:t xml:space="preserve"> v původní SP a aktualizované verze dle Rezortní metodiky a aktualizovaných nákladů stavby a harmonogramu výstavby je uvedeno níže. </w:t>
      </w:r>
    </w:p>
    <w:p w:rsidR="00B364CF" w:rsidRDefault="00B364CF" w:rsidP="00B364CF">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r w:rsidR="00EF042C">
        <w:rPr>
          <w:noProof/>
        </w:rPr>
        <w:t>29</w:t>
      </w:r>
      <w:r>
        <w:rPr>
          <w:noProof/>
        </w:rPr>
        <w:fldChar w:fldCharType="end"/>
      </w:r>
      <w:r>
        <w:t xml:space="preserve"> Shrnutí výsledků ekonomické analýzy, diskontované hodnoty, v tis. Kč</w:t>
      </w:r>
    </w:p>
    <w:p w:rsidR="00B364CF" w:rsidRDefault="00F07FDB" w:rsidP="00B364CF">
      <w:r w:rsidRPr="00F07FDB">
        <w:rPr>
          <w:noProof/>
          <w:lang w:eastAsia="cs-CZ"/>
        </w:rPr>
        <w:drawing>
          <wp:inline distT="0" distB="0" distL="0" distR="0">
            <wp:extent cx="5067300" cy="2905125"/>
            <wp:effectExtent l="0" t="0" r="0" b="952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67300" cy="2905125"/>
                    </a:xfrm>
                    <a:prstGeom prst="rect">
                      <a:avLst/>
                    </a:prstGeom>
                    <a:noFill/>
                    <a:ln>
                      <a:noFill/>
                    </a:ln>
                  </pic:spPr>
                </pic:pic>
              </a:graphicData>
            </a:graphic>
          </wp:inline>
        </w:drawing>
      </w:r>
    </w:p>
    <w:p w:rsidR="00B364CF" w:rsidRDefault="00B364CF" w:rsidP="00B364CF">
      <w:r>
        <w:t>Z porovnání vyplývá, že čistá současná hodnota přínosů oproti původní studii proveditelnosti narostla a to zejména ve složkách úspory provozních nákladů železniční infrastruktury a zůstatkové hodnotě. Současně došlo k poklesu hodnoty celospolečenských přínosů úspory času a externalit.</w:t>
      </w:r>
    </w:p>
    <w:p w:rsidR="00B364CF" w:rsidRDefault="00B364CF" w:rsidP="00D62572">
      <w:pPr>
        <w:pStyle w:val="Nadpis1"/>
        <w:numPr>
          <w:ilvl w:val="0"/>
          <w:numId w:val="24"/>
        </w:numPr>
      </w:pPr>
      <w:bookmarkStart w:id="85" w:name="_Toc24713980"/>
      <w:bookmarkStart w:id="86" w:name="_Toc40186611"/>
      <w:r>
        <w:t>Analýza citlivosti</w:t>
      </w:r>
      <w:bookmarkEnd w:id="85"/>
      <w:bookmarkEnd w:id="86"/>
    </w:p>
    <w:p w:rsidR="00B364CF" w:rsidRPr="002557F7" w:rsidRDefault="00B364CF" w:rsidP="00B364CF">
      <w:r w:rsidRPr="002557F7">
        <w:t xml:space="preserve">Cash-flow finanční a ekonomické analýzy je tvořeno několika peněžními toky, z nichž každý má vliv na výsledek ekonomického hodnocení. Velikost tohoto vlivu je udávána elasticitou konkrétního toku – nezávislé proměnné. </w:t>
      </w:r>
    </w:p>
    <w:p w:rsidR="00B364CF" w:rsidRPr="002557F7" w:rsidRDefault="00B364CF" w:rsidP="00B364CF">
      <w:bookmarkStart w:id="87" w:name="_Toc489357252"/>
      <w:r w:rsidRPr="002557F7">
        <w:t>Stanovení kritických proměnných</w:t>
      </w:r>
      <w:bookmarkEnd w:id="87"/>
    </w:p>
    <w:p w:rsidR="00B364CF" w:rsidRDefault="00B364CF" w:rsidP="00D62572">
      <w:pPr>
        <w:numPr>
          <w:ilvl w:val="0"/>
          <w:numId w:val="30"/>
        </w:numPr>
        <w:tabs>
          <w:tab w:val="clear" w:pos="1684"/>
          <w:tab w:val="num" w:pos="1260"/>
        </w:tabs>
        <w:spacing w:before="120" w:after="60"/>
        <w:ind w:left="1260"/>
      </w:pPr>
      <w:r>
        <w:t>Investiční náklady</w:t>
      </w:r>
    </w:p>
    <w:p w:rsidR="00B364CF" w:rsidRDefault="00B364CF" w:rsidP="00D62572">
      <w:pPr>
        <w:numPr>
          <w:ilvl w:val="0"/>
          <w:numId w:val="30"/>
        </w:numPr>
        <w:tabs>
          <w:tab w:val="clear" w:pos="1684"/>
          <w:tab w:val="num" w:pos="1260"/>
        </w:tabs>
        <w:spacing w:before="120" w:after="60"/>
        <w:ind w:left="1260"/>
      </w:pPr>
      <w:r>
        <w:t>Náklady na provozuschopnost (opravy a údržba)</w:t>
      </w:r>
    </w:p>
    <w:p w:rsidR="00B364CF" w:rsidRDefault="00B364CF" w:rsidP="00D62572">
      <w:pPr>
        <w:numPr>
          <w:ilvl w:val="0"/>
          <w:numId w:val="30"/>
        </w:numPr>
        <w:tabs>
          <w:tab w:val="clear" w:pos="1684"/>
          <w:tab w:val="num" w:pos="1260"/>
        </w:tabs>
        <w:spacing w:before="120" w:after="60"/>
        <w:ind w:left="1260"/>
      </w:pPr>
      <w:r>
        <w:t>Doba výstavby</w:t>
      </w:r>
    </w:p>
    <w:p w:rsidR="00B364CF" w:rsidRDefault="00B364CF" w:rsidP="00D62572">
      <w:pPr>
        <w:numPr>
          <w:ilvl w:val="0"/>
          <w:numId w:val="30"/>
        </w:numPr>
        <w:tabs>
          <w:tab w:val="clear" w:pos="1684"/>
          <w:tab w:val="num" w:pos="1260"/>
        </w:tabs>
        <w:spacing w:before="120" w:after="60"/>
        <w:ind w:left="1260"/>
      </w:pPr>
      <w:r>
        <w:t>Prognóza přepravních výkonů osobní dopravy</w:t>
      </w:r>
    </w:p>
    <w:p w:rsidR="00B364CF" w:rsidRDefault="00B364CF" w:rsidP="00B364C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30</w:t>
      </w:r>
      <w:r>
        <w:rPr>
          <w:noProof/>
        </w:rPr>
        <w:fldChar w:fldCharType="end"/>
      </w:r>
      <w:r>
        <w:t xml:space="preserve"> Přehled citlivosti proměnných na výsledky FA a EA</w:t>
      </w:r>
    </w:p>
    <w:p w:rsidR="00B364CF" w:rsidRDefault="00F07FDB" w:rsidP="00B364CF">
      <w:r w:rsidRPr="00F07FDB">
        <w:rPr>
          <w:noProof/>
          <w:lang w:eastAsia="cs-CZ"/>
        </w:rPr>
        <w:drawing>
          <wp:inline distT="0" distB="0" distL="0" distR="0">
            <wp:extent cx="4029075" cy="1171575"/>
            <wp:effectExtent l="0" t="0" r="9525" b="952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029075" cy="1171575"/>
                    </a:xfrm>
                    <a:prstGeom prst="rect">
                      <a:avLst/>
                    </a:prstGeom>
                    <a:noFill/>
                    <a:ln>
                      <a:noFill/>
                    </a:ln>
                  </pic:spPr>
                </pic:pic>
              </a:graphicData>
            </a:graphic>
          </wp:inline>
        </w:drawing>
      </w:r>
    </w:p>
    <w:p w:rsidR="00B364CF" w:rsidRDefault="00B364CF" w:rsidP="00B364CF">
      <w:r>
        <w:t>Z výsledků je patrné, že za kritické proměnné lze považovat zejména investiční náklady a vývoj přepravních výkonů v osobní dopravě. Doba předpokládané realizace projektu a náklady na provozuschopnost nevykazují vysokou míru elasticity k výsledkům ekonomické analýzy a jejich případná změna tak na výsledky ekonomického hodnocení nebude mít významný vliv.</w:t>
      </w:r>
    </w:p>
    <w:p w:rsidR="00B364CF" w:rsidRDefault="00B364CF" w:rsidP="00B364CF">
      <w:r>
        <w:t xml:space="preserve">V citlivostní analýze budou projektovány změny zjištěných kritických proměnných – investičních nákladů a prognózy přepravních výkonů osobní dopravy do výsledků finanční a ekonomické analýzy. </w:t>
      </w:r>
      <w:r w:rsidRPr="007A7424">
        <w:t xml:space="preserve">V případě investičních nákladů to bude změna o </w:t>
      </w:r>
      <w:smartTag w:uri="urn:schemas-microsoft-com:office:smarttags" w:element="metricconverter">
        <w:smartTagPr>
          <w:attr w:name="ProductID" w:val="10 a"/>
        </w:smartTagPr>
        <w:r w:rsidRPr="007A7424">
          <w:t>10 a</w:t>
        </w:r>
      </w:smartTag>
      <w:r w:rsidRPr="007A7424">
        <w:t xml:space="preserve"> </w:t>
      </w:r>
      <w:smartTag w:uri="urn:schemas-microsoft-com:office:smarttags" w:element="metricconverter">
        <w:smartTagPr>
          <w:attr w:name="ProductID" w:val="20 a"/>
        </w:smartTagPr>
        <w:r w:rsidRPr="007A7424">
          <w:t>20 a</w:t>
        </w:r>
      </w:smartTag>
      <w:r w:rsidRPr="007A7424">
        <w:t xml:space="preserve"> v případě </w:t>
      </w:r>
      <w:r>
        <w:t>pře</w:t>
      </w:r>
      <w:r w:rsidRPr="007A7424">
        <w:t>pravních výkonů to bude aplikace minimálního a maximálního sc</w:t>
      </w:r>
      <w:r>
        <w:t xml:space="preserve">énáře vývoje dopravních výkonů. Odchylky v prognóze </w:t>
      </w:r>
      <w:r>
        <w:lastRenderedPageBreak/>
        <w:t>přepravních výkonů se promítnou zejména do ekonomické analýzy a budou mít vliv takřka na všechny ekonomické peněžní toky projektu.</w:t>
      </w:r>
    </w:p>
    <w:p w:rsidR="00B364CF" w:rsidRDefault="00B364CF" w:rsidP="00D62572">
      <w:pPr>
        <w:pStyle w:val="Nadpis2"/>
        <w:numPr>
          <w:ilvl w:val="1"/>
          <w:numId w:val="24"/>
        </w:numPr>
      </w:pPr>
      <w:bookmarkStart w:id="88" w:name="_Toc24713981"/>
      <w:bookmarkStart w:id="89" w:name="_Toc40186612"/>
      <w:r>
        <w:t xml:space="preserve">Posouzení dopadů změny </w:t>
      </w:r>
      <w:r w:rsidR="007C4DFA">
        <w:t>kritických proměnných</w:t>
      </w:r>
      <w:r>
        <w:t xml:space="preserve"> na efektivitu projektu</w:t>
      </w:r>
      <w:bookmarkEnd w:id="88"/>
      <w:bookmarkEnd w:id="89"/>
    </w:p>
    <w:p w:rsidR="00B364CF" w:rsidRPr="009605FD" w:rsidRDefault="00B364CF" w:rsidP="00B364CF">
      <w:pPr>
        <w:rPr>
          <w:b/>
        </w:rPr>
      </w:pPr>
      <w:r>
        <w:t xml:space="preserve">Investiční náklady jsou jednoznačně nejvýznamnějším tokem finanční analýzy a rovněž velmi významným tokem analýzy ekonomické. Z toho je patrné, že jejich změna bude mít velký vliv na výsledky jak finanční tak ekonomické analýzy. </w:t>
      </w:r>
    </w:p>
    <w:p w:rsidR="00B364CF" w:rsidRDefault="00B364CF" w:rsidP="00B364CF">
      <w:pPr>
        <w:pStyle w:val="Titulek"/>
        <w:keepNext/>
      </w:pPr>
      <w:r>
        <w:t xml:space="preserve">Tabulka </w:t>
      </w:r>
      <w:r>
        <w:rPr>
          <w:noProof/>
        </w:rPr>
        <w:fldChar w:fldCharType="begin"/>
      </w:r>
      <w:r>
        <w:rPr>
          <w:noProof/>
        </w:rPr>
        <w:instrText xml:space="preserve"> SEQ Tabulka \* ARABIC </w:instrText>
      </w:r>
      <w:r>
        <w:rPr>
          <w:noProof/>
        </w:rPr>
        <w:fldChar w:fldCharType="separate"/>
      </w:r>
      <w:r w:rsidR="00EF042C">
        <w:rPr>
          <w:noProof/>
        </w:rPr>
        <w:t>31</w:t>
      </w:r>
      <w:r>
        <w:rPr>
          <w:noProof/>
        </w:rPr>
        <w:fldChar w:fldCharType="end"/>
      </w:r>
      <w:r>
        <w:t xml:space="preserve"> Výsledky analýzy citlivosti pro investiční náklady</w:t>
      </w:r>
    </w:p>
    <w:p w:rsidR="00B364CF" w:rsidRDefault="00F07FDB" w:rsidP="00B364CF">
      <w:r w:rsidRPr="00F07FDB">
        <w:rPr>
          <w:noProof/>
          <w:lang w:eastAsia="cs-CZ"/>
        </w:rPr>
        <w:drawing>
          <wp:inline distT="0" distB="0" distL="0" distR="0">
            <wp:extent cx="5505450" cy="2524125"/>
            <wp:effectExtent l="0" t="0" r="0"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05450" cy="2524125"/>
                    </a:xfrm>
                    <a:prstGeom prst="rect">
                      <a:avLst/>
                    </a:prstGeom>
                    <a:noFill/>
                    <a:ln>
                      <a:noFill/>
                    </a:ln>
                  </pic:spPr>
                </pic:pic>
              </a:graphicData>
            </a:graphic>
          </wp:inline>
        </w:drawing>
      </w:r>
    </w:p>
    <w:p w:rsidR="00B364CF" w:rsidRPr="00D01F45" w:rsidRDefault="00B364CF" w:rsidP="00B364CF">
      <w:r w:rsidRPr="00D01F45">
        <w:t xml:space="preserve">Přepínací hodnoty pro investiční náklady jsou pro: </w:t>
      </w:r>
    </w:p>
    <w:p w:rsidR="00B364CF" w:rsidRPr="00D01F45" w:rsidRDefault="00B364CF" w:rsidP="00D62572">
      <w:pPr>
        <w:pStyle w:val="Odstavecseseznamem"/>
        <w:numPr>
          <w:ilvl w:val="0"/>
          <w:numId w:val="31"/>
        </w:numPr>
      </w:pPr>
      <w:r w:rsidRPr="00D01F45">
        <w:t xml:space="preserve">Finanční analýzu činí </w:t>
      </w:r>
      <w:r>
        <w:t>–</w:t>
      </w:r>
      <w:r w:rsidRPr="00D01F45">
        <w:t xml:space="preserve"> </w:t>
      </w:r>
      <w:r w:rsidR="00F07FDB">
        <w:t>39,88</w:t>
      </w:r>
      <w:r w:rsidRPr="00D01F45">
        <w:t xml:space="preserve">%, tedy </w:t>
      </w:r>
      <w:r>
        <w:t>–</w:t>
      </w:r>
      <w:r w:rsidRPr="00D01F45">
        <w:t xml:space="preserve"> </w:t>
      </w:r>
      <w:r w:rsidR="00F07FDB">
        <w:t>7,9</w:t>
      </w:r>
      <w:r w:rsidRPr="00D01F45">
        <w:t xml:space="preserve"> mld. Kč</w:t>
      </w:r>
    </w:p>
    <w:p w:rsidR="00B364CF" w:rsidRDefault="00F204B4" w:rsidP="00D62572">
      <w:pPr>
        <w:pStyle w:val="Odstavecseseznamem"/>
        <w:numPr>
          <w:ilvl w:val="0"/>
          <w:numId w:val="31"/>
        </w:numPr>
      </w:pPr>
      <w:r>
        <w:t>Ekonomickou analýzu činí + 15,</w:t>
      </w:r>
      <w:r w:rsidR="00F07FDB">
        <w:t>72</w:t>
      </w:r>
      <w:r w:rsidR="00B364CF" w:rsidRPr="00D01F45">
        <w:t xml:space="preserve">% tedy </w:t>
      </w:r>
      <w:r w:rsidR="00450E9D">
        <w:t>+</w:t>
      </w:r>
      <w:r w:rsidR="00B364CF" w:rsidRPr="00D01F45">
        <w:t xml:space="preserve"> </w:t>
      </w:r>
      <w:r>
        <w:t>3,</w:t>
      </w:r>
      <w:r w:rsidR="00F07FDB">
        <w:t>1</w:t>
      </w:r>
      <w:r>
        <w:t xml:space="preserve"> mld</w:t>
      </w:r>
      <w:r w:rsidR="00B364CF" w:rsidRPr="00D01F45">
        <w:t>. Kč</w:t>
      </w:r>
    </w:p>
    <w:p w:rsidR="00B364CF" w:rsidRDefault="00B364CF" w:rsidP="00D62572">
      <w:pPr>
        <w:pStyle w:val="Nadpis1"/>
        <w:numPr>
          <w:ilvl w:val="0"/>
          <w:numId w:val="24"/>
        </w:numPr>
      </w:pPr>
      <w:bookmarkStart w:id="90" w:name="_Toc24713983"/>
      <w:bookmarkStart w:id="91" w:name="_Toc40186613"/>
      <w:r>
        <w:t>Shrnutí</w:t>
      </w:r>
      <w:bookmarkEnd w:id="90"/>
      <w:bookmarkEnd w:id="91"/>
    </w:p>
    <w:p w:rsidR="0087784D" w:rsidRPr="00425C50" w:rsidRDefault="0087784D" w:rsidP="0087784D">
      <w:r w:rsidRPr="00425C50">
        <w:t xml:space="preserve">V rámci studie </w:t>
      </w:r>
      <w:r>
        <w:t>byla</w:t>
      </w:r>
      <w:r w:rsidRPr="00425C50">
        <w:t xml:space="preserve"> zpracována podrobná analýza stávajících problémů infrastruktury z pohledu technického, dopravně-technologického, životního prostředí atd. Na základě této analýzy byly stanoveny základní cíle, </w:t>
      </w:r>
      <w:r>
        <w:t>které modernizace uzlu musí naplnit</w:t>
      </w:r>
      <w:r w:rsidRPr="00425C50">
        <w:t>:</w:t>
      </w:r>
    </w:p>
    <w:p w:rsidR="0087784D" w:rsidRPr="00425C50" w:rsidRDefault="0087784D" w:rsidP="0087784D">
      <w:pPr>
        <w:pStyle w:val="Odstavecseseznamem"/>
        <w:numPr>
          <w:ilvl w:val="0"/>
          <w:numId w:val="33"/>
        </w:numPr>
      </w:pPr>
      <w:r w:rsidRPr="00425C50">
        <w:t>Zlepšení technického stavu a parametrů uzlu Ostrava</w:t>
      </w:r>
    </w:p>
    <w:p w:rsidR="0087784D" w:rsidRPr="00425C50" w:rsidRDefault="0087784D" w:rsidP="0087784D">
      <w:pPr>
        <w:pStyle w:val="Odstavecseseznamem"/>
        <w:numPr>
          <w:ilvl w:val="0"/>
          <w:numId w:val="33"/>
        </w:numPr>
      </w:pPr>
      <w:r w:rsidRPr="00425C50">
        <w:t>Zvýšení provozní efektivity železniční dopravy</w:t>
      </w:r>
    </w:p>
    <w:p w:rsidR="0087784D" w:rsidRPr="00425C50" w:rsidRDefault="0087784D" w:rsidP="0087784D">
      <w:pPr>
        <w:pStyle w:val="Odstavecseseznamem"/>
        <w:numPr>
          <w:ilvl w:val="0"/>
          <w:numId w:val="33"/>
        </w:numPr>
      </w:pPr>
      <w:r w:rsidRPr="00425C50">
        <w:t>Zvýšení spolehlivosti železniční dopravy</w:t>
      </w:r>
    </w:p>
    <w:p w:rsidR="0087784D" w:rsidRPr="00425C50" w:rsidRDefault="0087784D" w:rsidP="0087784D">
      <w:pPr>
        <w:pStyle w:val="Odstavecseseznamem"/>
        <w:numPr>
          <w:ilvl w:val="0"/>
          <w:numId w:val="33"/>
        </w:numPr>
      </w:pPr>
      <w:r w:rsidRPr="00425C50">
        <w:t>Snížení negativních vlivů z železniční dopravy na životní prostředí a zdraví obyvatelstva</w:t>
      </w:r>
    </w:p>
    <w:p w:rsidR="0087784D" w:rsidRPr="00425C50" w:rsidRDefault="0087784D" w:rsidP="0087784D">
      <w:pPr>
        <w:pStyle w:val="Odstavecseseznamem"/>
        <w:numPr>
          <w:ilvl w:val="0"/>
          <w:numId w:val="33"/>
        </w:numPr>
      </w:pPr>
      <w:r w:rsidRPr="00425C50">
        <w:t>Zvýšení bezpečnosti železničního provozu a cestujících</w:t>
      </w:r>
    </w:p>
    <w:p w:rsidR="0087784D" w:rsidRPr="00425C50" w:rsidRDefault="0087784D" w:rsidP="0087784D">
      <w:pPr>
        <w:pStyle w:val="Odstavecseseznamem"/>
        <w:numPr>
          <w:ilvl w:val="0"/>
          <w:numId w:val="33"/>
        </w:numPr>
      </w:pPr>
      <w:r w:rsidRPr="00425C50">
        <w:t>Zvýšení komfortu a kvality pro cestující v železniční dopravě</w:t>
      </w:r>
    </w:p>
    <w:p w:rsidR="0087784D" w:rsidRPr="00425C50" w:rsidRDefault="0087784D" w:rsidP="0087784D">
      <w:pPr>
        <w:pStyle w:val="Odstavecseseznamem"/>
        <w:numPr>
          <w:ilvl w:val="0"/>
          <w:numId w:val="33"/>
        </w:numPr>
      </w:pPr>
      <w:r w:rsidRPr="00425C50">
        <w:t>Zlepšení dopravní dostupnosti do jednotlivých částí Ostravy</w:t>
      </w:r>
    </w:p>
    <w:p w:rsidR="0087784D" w:rsidRDefault="0087784D" w:rsidP="0087784D">
      <w:pPr>
        <w:pStyle w:val="Odstavecseseznamem"/>
        <w:numPr>
          <w:ilvl w:val="0"/>
          <w:numId w:val="33"/>
        </w:numPr>
      </w:pPr>
      <w:r w:rsidRPr="00425C50">
        <w:t>Naplnění požadavků strategických dokumentů (nařízení EK, vyhlášky, normy směrnice)</w:t>
      </w:r>
    </w:p>
    <w:p w:rsidR="0087784D" w:rsidRDefault="0087784D" w:rsidP="0087784D">
      <w:pPr>
        <w:rPr>
          <w:noProof/>
          <w:lang w:eastAsia="cs-CZ"/>
        </w:rPr>
      </w:pPr>
      <w:r>
        <w:t>Zvolené technické řešení vycházející z vybrané varianty všechny uvedené cíle naplňuje, přičemž současně splňuje parametry pro ekonomicky efektivní investici, jak ukazují výsledky uvedené níže.</w:t>
      </w:r>
    </w:p>
    <w:p w:rsidR="0087784D" w:rsidRDefault="0087784D" w:rsidP="0087784D">
      <w:r>
        <w:t>Mezi hlavní ekonomické přínosy modernizace patří:</w:t>
      </w:r>
    </w:p>
    <w:p w:rsidR="0087784D" w:rsidRDefault="0087784D" w:rsidP="0087784D">
      <w:pPr>
        <w:pStyle w:val="Odstavecseseznamem"/>
        <w:numPr>
          <w:ilvl w:val="0"/>
          <w:numId w:val="47"/>
        </w:numPr>
      </w:pPr>
      <w:r>
        <w:t xml:space="preserve">úspora provozních nákladů železniční infrastruktury </w:t>
      </w:r>
    </w:p>
    <w:p w:rsidR="0087784D" w:rsidRDefault="0087784D" w:rsidP="0087784D">
      <w:pPr>
        <w:pStyle w:val="Odstavecseseznamem"/>
        <w:numPr>
          <w:ilvl w:val="0"/>
          <w:numId w:val="47"/>
        </w:numPr>
      </w:pPr>
      <w:r>
        <w:t>úspora času osobní dopravy</w:t>
      </w:r>
    </w:p>
    <w:p w:rsidR="0087784D" w:rsidRDefault="0087784D" w:rsidP="0087784D">
      <w:pPr>
        <w:pStyle w:val="Odstavecseseznamem"/>
        <w:numPr>
          <w:ilvl w:val="0"/>
          <w:numId w:val="47"/>
        </w:numPr>
      </w:pPr>
      <w:r>
        <w:t>úspora externalit osobní a zejména nákladní dopravy převedením části nákladní dopravy ze silnice na železnici</w:t>
      </w:r>
    </w:p>
    <w:p w:rsidR="0087784D" w:rsidRDefault="0087784D" w:rsidP="0087784D">
      <w:pPr>
        <w:pStyle w:val="Odstavecseseznamem"/>
        <w:numPr>
          <w:ilvl w:val="0"/>
          <w:numId w:val="47"/>
        </w:numPr>
      </w:pPr>
      <w:r>
        <w:t>úspora provozních nákladů silniční dopravy, a to zejména v segmentu nákladní dopravy vzhledem k očekávanému převedení části přepravy ze silnice na železnici</w:t>
      </w:r>
    </w:p>
    <w:p w:rsidR="0087784D" w:rsidRDefault="0087784D" w:rsidP="0087784D"/>
    <w:p w:rsidR="003F4FB6" w:rsidRPr="003F4FB6" w:rsidRDefault="0087784D" w:rsidP="0087784D">
      <w:pPr>
        <w:rPr>
          <w:color w:val="FF0000"/>
        </w:rPr>
      </w:pPr>
      <w:r w:rsidRPr="00D43924">
        <w:lastRenderedPageBreak/>
        <w:t>Výše popsané přínosy byly monetizovány v rámci ekonomické analýzy, která sumarizuje celospolečenské efekty investice. Do ekonomické analýzy rovněž vstupují peněžní toky z finanční analýzy přepočtené na ekonomické ceny a dohromady utváří tabulky ekonomického cash-flow. Z tě</w:t>
      </w:r>
      <w:r>
        <w:t>chto toků je odvozena ekonomická</w:t>
      </w:r>
      <w:r w:rsidRPr="00D43924">
        <w:t xml:space="preserve"> </w:t>
      </w:r>
      <w:r>
        <w:t>míra návratnosti</w:t>
      </w:r>
      <w:r w:rsidRPr="00D43924">
        <w:t xml:space="preserve"> (ERR), ekonomická čistá současná hodnota (ENPV) a </w:t>
      </w:r>
      <w:r>
        <w:t xml:space="preserve">poměr přínosů a nákladů </w:t>
      </w:r>
      <w:r w:rsidRPr="00D43924">
        <w:t>(</w:t>
      </w:r>
      <w:r>
        <w:t>B / C</w:t>
      </w:r>
      <w:r w:rsidRPr="00D43924">
        <w:t>). Při výpočtu čisté současné hodnoty je použita v ekonomické analýze diskontní sazba 5,</w:t>
      </w:r>
      <w:r>
        <w:t>0</w:t>
      </w:r>
      <w:r w:rsidRPr="00D43924">
        <w:t xml:space="preserve"> %.</w:t>
      </w:r>
    </w:p>
    <w:p w:rsidR="00B364CF" w:rsidRDefault="00B364CF" w:rsidP="0087784D">
      <w:pPr>
        <w:pStyle w:val="Titulek"/>
        <w:keepNext/>
        <w:jc w:val="center"/>
      </w:pPr>
      <w:r>
        <w:t xml:space="preserve">Tabulka </w:t>
      </w:r>
      <w:r>
        <w:rPr>
          <w:noProof/>
        </w:rPr>
        <w:fldChar w:fldCharType="begin"/>
      </w:r>
      <w:r>
        <w:rPr>
          <w:noProof/>
        </w:rPr>
        <w:instrText xml:space="preserve"> SEQ Tabulka \* ARABIC </w:instrText>
      </w:r>
      <w:r>
        <w:rPr>
          <w:noProof/>
        </w:rPr>
        <w:fldChar w:fldCharType="separate"/>
      </w:r>
      <w:r w:rsidR="00EF042C">
        <w:rPr>
          <w:noProof/>
        </w:rPr>
        <w:t>32</w:t>
      </w:r>
      <w:r>
        <w:rPr>
          <w:noProof/>
        </w:rPr>
        <w:fldChar w:fldCharType="end"/>
      </w:r>
      <w:r>
        <w:t xml:space="preserve"> Shrnutí výsledků ekonomického hodnocení</w:t>
      </w:r>
    </w:p>
    <w:p w:rsidR="00B364CF" w:rsidRDefault="00960D3B" w:rsidP="0087784D">
      <w:pPr>
        <w:jc w:val="center"/>
      </w:pPr>
      <w:r w:rsidRPr="00960D3B">
        <w:drawing>
          <wp:inline distT="0" distB="0" distL="0" distR="0">
            <wp:extent cx="3836035" cy="795655"/>
            <wp:effectExtent l="0" t="0" r="0" b="444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36035" cy="795655"/>
                    </a:xfrm>
                    <a:prstGeom prst="rect">
                      <a:avLst/>
                    </a:prstGeom>
                    <a:noFill/>
                    <a:ln>
                      <a:noFill/>
                    </a:ln>
                  </pic:spPr>
                </pic:pic>
              </a:graphicData>
            </a:graphic>
          </wp:inline>
        </w:drawing>
      </w:r>
    </w:p>
    <w:p w:rsidR="00B364CF" w:rsidRPr="00D43924" w:rsidRDefault="00B364CF" w:rsidP="00B364CF">
      <w:r w:rsidRPr="00D43924">
        <w:t>Výše popsané přínosy byly monetizovány v rámci ekonomické analýzy, která sumarizuje celospolečenské efekty investice. Do ekonomické analýzy rovněž vstupují peněžní toky z finanční analýzy přepočtené na ekonomické ceny a dohromady utváří tabulky ekonomického cash-flow. Z tě</w:t>
      </w:r>
      <w:r>
        <w:t>chto toků je odvozena ekonomická</w:t>
      </w:r>
      <w:r w:rsidRPr="00D43924">
        <w:t xml:space="preserve"> </w:t>
      </w:r>
      <w:r>
        <w:t>míra návratnosti</w:t>
      </w:r>
      <w:r w:rsidRPr="00D43924">
        <w:t xml:space="preserve"> (ERR), ekonomická čistá současná hodnota (ENPV) a </w:t>
      </w:r>
      <w:r>
        <w:t xml:space="preserve">poměr přínosů a nákladů </w:t>
      </w:r>
      <w:r w:rsidRPr="00D43924">
        <w:t>(BCR). Při výpočtu čisté současné hodnoty je použita v ekonomické analýze diskontní sazba 5,</w:t>
      </w:r>
      <w:r>
        <w:t>0</w:t>
      </w:r>
      <w:r w:rsidRPr="00D43924">
        <w:t xml:space="preserve"> %.</w:t>
      </w:r>
    </w:p>
    <w:p w:rsidR="00B364CF" w:rsidRDefault="00B364CF" w:rsidP="00B364CF"/>
    <w:p w:rsidR="00B364CF" w:rsidRDefault="00B364CF" w:rsidP="00D62572">
      <w:pPr>
        <w:pStyle w:val="Nadpis1"/>
        <w:numPr>
          <w:ilvl w:val="0"/>
          <w:numId w:val="24"/>
        </w:numPr>
      </w:pPr>
      <w:bookmarkStart w:id="92" w:name="_Toc24713984"/>
      <w:bookmarkStart w:id="93" w:name="_Toc40186614"/>
      <w:r>
        <w:t>Přílohy</w:t>
      </w:r>
      <w:bookmarkEnd w:id="92"/>
      <w:bookmarkEnd w:id="93"/>
    </w:p>
    <w:p w:rsidR="00B364CF" w:rsidRPr="00103722" w:rsidRDefault="00B364CF" w:rsidP="00B364CF"/>
    <w:p w:rsidR="00B364CF" w:rsidRDefault="00B364CF" w:rsidP="00B364CF">
      <w:r>
        <w:t>Příloha 1 – Finanční a ekonomické CBA tabulky</w:t>
      </w:r>
    </w:p>
    <w:p w:rsidR="00B364CF" w:rsidRDefault="00B364CF" w:rsidP="00B364CF">
      <w:r>
        <w:t xml:space="preserve">Příloha 2 – </w:t>
      </w:r>
      <w:r w:rsidR="005C6ABC">
        <w:t>Náklad varianty bez projektu v čase</w:t>
      </w:r>
    </w:p>
    <w:p w:rsidR="00B364CF" w:rsidRDefault="00B364CF" w:rsidP="00B364CF">
      <w:r>
        <w:t xml:space="preserve">Příloha 3 – Kalkulace nákladů na provoz vlaků </w:t>
      </w:r>
    </w:p>
    <w:p w:rsidR="00B364CF" w:rsidRDefault="00B364CF" w:rsidP="00B364CF">
      <w:r>
        <w:t xml:space="preserve">Příloha </w:t>
      </w:r>
      <w:r w:rsidR="00A37B58">
        <w:t>4</w:t>
      </w:r>
      <w:r>
        <w:t xml:space="preserve"> – Výpočet časového využití vlakových souprav</w:t>
      </w:r>
    </w:p>
    <w:p w:rsidR="00B364CF" w:rsidRDefault="00B364CF" w:rsidP="00B364CF"/>
    <w:p w:rsidR="00B364CF" w:rsidRDefault="00B364CF" w:rsidP="00B364CF">
      <w:r>
        <w:t>Výše uvedené přílohy jsou vyhotoveny pouze v elektronické formě.</w:t>
      </w:r>
    </w:p>
    <w:p w:rsidR="00B364CF" w:rsidRDefault="00B364CF" w:rsidP="00B364CF"/>
    <w:p w:rsidR="00B364CF" w:rsidRDefault="00B364CF" w:rsidP="00B364CF">
      <w:pPr>
        <w:ind w:firstLine="4820"/>
      </w:pPr>
    </w:p>
    <w:p w:rsidR="00B364CF" w:rsidRDefault="00B364CF" w:rsidP="00B364CF">
      <w:pPr>
        <w:ind w:firstLine="4820"/>
      </w:pPr>
    </w:p>
    <w:p w:rsidR="00B364CF" w:rsidRDefault="00B364CF" w:rsidP="00B364CF">
      <w:pPr>
        <w:ind w:firstLine="4820"/>
      </w:pPr>
    </w:p>
    <w:p w:rsidR="00B364CF" w:rsidRDefault="00C17A97" w:rsidP="00B364CF">
      <w:pPr>
        <w:ind w:firstLine="4820"/>
      </w:pPr>
      <w:r>
        <w:t xml:space="preserve">V Brně </w:t>
      </w:r>
      <w:r w:rsidR="008F6993">
        <w:t>12</w:t>
      </w:r>
      <w:r w:rsidR="0087784D">
        <w:t>.5</w:t>
      </w:r>
      <w:r>
        <w:t>.2020</w:t>
      </w:r>
    </w:p>
    <w:p w:rsidR="00B364CF" w:rsidRDefault="00B364CF" w:rsidP="00B364CF">
      <w:pPr>
        <w:ind w:firstLine="4820"/>
      </w:pPr>
      <w:r>
        <w:t>Vypracoval: Ing. Tomáš Funk</w:t>
      </w:r>
    </w:p>
    <w:p w:rsidR="00B364CF" w:rsidRDefault="00B364CF" w:rsidP="00B364CF">
      <w:pPr>
        <w:ind w:firstLine="4820"/>
      </w:pPr>
      <w:r>
        <w:t>MORAVIA CONSULT Olomouc a.s.</w:t>
      </w:r>
    </w:p>
    <w:p w:rsidR="00B364CF" w:rsidRPr="00855C4D" w:rsidRDefault="00B364CF" w:rsidP="00B364CF">
      <w:pPr>
        <w:ind w:firstLine="4820"/>
      </w:pPr>
      <w:r>
        <w:t>Tel.: 739 243 410, mail: funk@moravia.cz</w:t>
      </w:r>
    </w:p>
    <w:p w:rsidR="0086464C" w:rsidRPr="000217CF" w:rsidRDefault="0086464C" w:rsidP="0086464C"/>
    <w:sectPr w:rsidR="0086464C" w:rsidRPr="000217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E9D" w:rsidRDefault="00450E9D" w:rsidP="00FF7D35">
      <w:pPr>
        <w:spacing w:after="0"/>
      </w:pPr>
      <w:r>
        <w:separator/>
      </w:r>
    </w:p>
  </w:endnote>
  <w:endnote w:type="continuationSeparator" w:id="0">
    <w:p w:rsidR="00450E9D" w:rsidRDefault="00450E9D" w:rsidP="00FF7D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667"/>
      <w:docPartObj>
        <w:docPartGallery w:val="Page Numbers (Bottom of Page)"/>
        <w:docPartUnique/>
      </w:docPartObj>
    </w:sdtPr>
    <w:sdtEndPr/>
    <w:sdtContent>
      <w:p w:rsidR="00450E9D" w:rsidRDefault="00450E9D">
        <w:pPr>
          <w:pStyle w:val="Zpat"/>
          <w:jc w:val="center"/>
        </w:pPr>
        <w:r>
          <w:fldChar w:fldCharType="begin"/>
        </w:r>
        <w:r>
          <w:instrText>PAGE   \* MERGEFORMAT</w:instrText>
        </w:r>
        <w:r>
          <w:fldChar w:fldCharType="separate"/>
        </w:r>
        <w:r w:rsidR="00EF042C">
          <w:rPr>
            <w:noProof/>
          </w:rPr>
          <w:t>29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E9D" w:rsidRDefault="00450E9D" w:rsidP="00FF7D35">
      <w:pPr>
        <w:spacing w:after="0"/>
      </w:pPr>
      <w:r>
        <w:separator/>
      </w:r>
    </w:p>
  </w:footnote>
  <w:footnote w:type="continuationSeparator" w:id="0">
    <w:p w:rsidR="00450E9D" w:rsidRDefault="00450E9D" w:rsidP="00FF7D3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E9D" w:rsidRPr="0085221B" w:rsidRDefault="00450E9D" w:rsidP="00713A49">
    <w:pPr>
      <w:pStyle w:val="Zhlav"/>
      <w:jc w:val="right"/>
      <w:rPr>
        <w:b/>
        <w:sz w:val="16"/>
        <w:szCs w:val="16"/>
        <w:lang w:val="cs-CZ"/>
      </w:rPr>
    </w:pPr>
    <w:r w:rsidRPr="0085221B">
      <w:rPr>
        <w:b/>
        <w:sz w:val="16"/>
        <w:szCs w:val="16"/>
        <w:lang w:val="cs-CZ"/>
      </w:rPr>
      <w:t xml:space="preserve">Modernizace železničního uzlu Ostrava </w:t>
    </w:r>
  </w:p>
  <w:p w:rsidR="00450E9D" w:rsidRPr="0085221B" w:rsidRDefault="00450E9D" w:rsidP="00713A49">
    <w:pPr>
      <w:pStyle w:val="Zhlav"/>
      <w:jc w:val="right"/>
      <w:rPr>
        <w:sz w:val="16"/>
        <w:szCs w:val="16"/>
        <w:lang w:val="cs-CZ"/>
      </w:rPr>
    </w:pPr>
    <w:r w:rsidRPr="0085221B">
      <w:rPr>
        <w:b/>
        <w:sz w:val="16"/>
        <w:szCs w:val="16"/>
        <w:lang w:val="cs-CZ"/>
      </w:rPr>
      <w:t>Ekonomické hodnocení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E9D" w:rsidRPr="005A6BF4" w:rsidRDefault="00450E9D" w:rsidP="005A6BF4">
    <w:pPr>
      <w:pStyle w:val="Zhlav"/>
      <w:jc w:val="right"/>
      <w:rPr>
        <w:lang w:val="cs-CZ"/>
      </w:rPr>
    </w:pPr>
    <w:r w:rsidRPr="005A6BF4">
      <w:rPr>
        <w:lang w:val="cs-CZ"/>
      </w:rPr>
      <w:t>Modernizace železničního uzlu Ostrava</w:t>
    </w:r>
  </w:p>
  <w:p w:rsidR="00450E9D" w:rsidRPr="005A6BF4" w:rsidRDefault="00450E9D" w:rsidP="005A6BF4">
    <w:pPr>
      <w:pStyle w:val="Zhlav"/>
      <w:jc w:val="right"/>
      <w:rPr>
        <w:lang w:val="cs-CZ"/>
      </w:rPr>
    </w:pPr>
    <w:r w:rsidRPr="005A6BF4">
      <w:rPr>
        <w:lang w:val="cs-CZ"/>
      </w:rPr>
      <w:t>Ekonomické hodnocení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E2CBC"/>
    <w:multiLevelType w:val="hybridMultilevel"/>
    <w:tmpl w:val="AE50CA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D143C0"/>
    <w:multiLevelType w:val="multilevel"/>
    <w:tmpl w:val="49CC67CC"/>
    <w:lvl w:ilvl="0">
      <w:start w:val="1"/>
      <w:numFmt w:val="decimal"/>
      <w:lvlText w:val="%1"/>
      <w:lvlJc w:val="left"/>
      <w:pPr>
        <w:ind w:left="432" w:hanging="432"/>
      </w:pPr>
    </w:lvl>
    <w:lvl w:ilvl="1">
      <w:start w:val="1"/>
      <w:numFmt w:val="decimal"/>
      <w:lvlText w:val="%1.%2"/>
      <w:lvlJc w:val="left"/>
      <w:pPr>
        <w:ind w:left="355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34516E3"/>
    <w:multiLevelType w:val="hybridMultilevel"/>
    <w:tmpl w:val="4C827A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CB4596"/>
    <w:multiLevelType w:val="hybridMultilevel"/>
    <w:tmpl w:val="BB7051B6"/>
    <w:lvl w:ilvl="0" w:tplc="47FC156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D76C43"/>
    <w:multiLevelType w:val="hybridMultilevel"/>
    <w:tmpl w:val="06AEC2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944E4A"/>
    <w:multiLevelType w:val="hybridMultilevel"/>
    <w:tmpl w:val="767843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B072E9"/>
    <w:multiLevelType w:val="hybridMultilevel"/>
    <w:tmpl w:val="6316B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994340A"/>
    <w:multiLevelType w:val="hybridMultilevel"/>
    <w:tmpl w:val="5DB45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6D7F50"/>
    <w:multiLevelType w:val="hybridMultilevel"/>
    <w:tmpl w:val="0A3E4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E4515B"/>
    <w:multiLevelType w:val="hybridMultilevel"/>
    <w:tmpl w:val="CAA01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CC76341"/>
    <w:multiLevelType w:val="hybridMultilevel"/>
    <w:tmpl w:val="BD944B56"/>
    <w:lvl w:ilvl="0" w:tplc="B93E157A">
      <w:start w:val="1"/>
      <w:numFmt w:val="decimal"/>
      <w:pStyle w:val="Nzevtabulky"/>
      <w:lvlText w:val="Tab.%1"/>
      <w:lvlJc w:val="left"/>
      <w:pPr>
        <w:tabs>
          <w:tab w:val="num" w:pos="3289"/>
        </w:tabs>
        <w:ind w:left="3289" w:hanging="80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3FA1686"/>
    <w:multiLevelType w:val="hybridMultilevel"/>
    <w:tmpl w:val="8E828EF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562793F"/>
    <w:multiLevelType w:val="hybridMultilevel"/>
    <w:tmpl w:val="5F70A1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EA67E8"/>
    <w:multiLevelType w:val="singleLevel"/>
    <w:tmpl w:val="A36AB6E2"/>
    <w:lvl w:ilvl="0">
      <w:start w:val="1"/>
      <w:numFmt w:val="bullet"/>
      <w:pStyle w:val="odraz1"/>
      <w:lvlText w:val=""/>
      <w:lvlJc w:val="left"/>
      <w:pPr>
        <w:tabs>
          <w:tab w:val="num" w:pos="1211"/>
        </w:tabs>
        <w:ind w:left="284" w:firstLine="567"/>
      </w:pPr>
      <w:rPr>
        <w:rFonts w:ascii="Symbol" w:hAnsi="Symbol" w:hint="default"/>
      </w:rPr>
    </w:lvl>
  </w:abstractNum>
  <w:abstractNum w:abstractNumId="14" w15:restartNumberingAfterBreak="0">
    <w:nsid w:val="1E2225FE"/>
    <w:multiLevelType w:val="multilevel"/>
    <w:tmpl w:val="A3A0ADF4"/>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decimal"/>
      <w:suff w:val="space"/>
      <w:lvlText w:val="%1.%2.%3.%4.%5.%6.%7  "/>
      <w:lvlJc w:val="left"/>
      <w:pPr>
        <w:ind w:left="0" w:firstLine="0"/>
      </w:pPr>
      <w:rPr>
        <w:rFonts w:hint="default"/>
      </w:rPr>
    </w:lvl>
    <w:lvl w:ilvl="7">
      <w:start w:val="1"/>
      <w:numFmt w:val="decimal"/>
      <w:suff w:val="space"/>
      <w:lvlText w:val="%1.%2.%3.%4.%5.%6.%7.%8  "/>
      <w:lvlJc w:val="left"/>
      <w:pPr>
        <w:ind w:left="0" w:firstLine="0"/>
      </w:pPr>
      <w:rPr>
        <w:rFonts w:hint="default"/>
      </w:rPr>
    </w:lvl>
    <w:lvl w:ilvl="8">
      <w:start w:val="1"/>
      <w:numFmt w:val="decimal"/>
      <w:suff w:val="space"/>
      <w:lvlText w:val="%1.%2.%3.%4.%5.%6.%7.%8.%9  "/>
      <w:lvlJc w:val="left"/>
      <w:pPr>
        <w:ind w:left="0" w:firstLine="0"/>
      </w:pPr>
      <w:rPr>
        <w:rFonts w:hint="default"/>
      </w:rPr>
    </w:lvl>
  </w:abstractNum>
  <w:abstractNum w:abstractNumId="15" w15:restartNumberingAfterBreak="0">
    <w:nsid w:val="1EF54A76"/>
    <w:multiLevelType w:val="hybridMultilevel"/>
    <w:tmpl w:val="A0402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436A08"/>
    <w:multiLevelType w:val="hybridMultilevel"/>
    <w:tmpl w:val="18F6F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094DDF"/>
    <w:multiLevelType w:val="hybridMultilevel"/>
    <w:tmpl w:val="5F70A1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DF3E39"/>
    <w:multiLevelType w:val="hybridMultilevel"/>
    <w:tmpl w:val="7E32D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4D3491"/>
    <w:multiLevelType w:val="hybridMultilevel"/>
    <w:tmpl w:val="AE14E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D68220F"/>
    <w:multiLevelType w:val="hybridMultilevel"/>
    <w:tmpl w:val="818C4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5C07C7"/>
    <w:multiLevelType w:val="hybridMultilevel"/>
    <w:tmpl w:val="388E1D58"/>
    <w:lvl w:ilvl="0" w:tplc="04050001">
      <w:start w:val="1"/>
      <w:numFmt w:val="bullet"/>
      <w:lvlText w:val=""/>
      <w:lvlJc w:val="left"/>
      <w:pPr>
        <w:tabs>
          <w:tab w:val="num" w:pos="1684"/>
        </w:tabs>
        <w:ind w:left="1684" w:hanging="360"/>
      </w:pPr>
      <w:rPr>
        <w:rFonts w:ascii="Symbol" w:hAnsi="Symbol" w:hint="default"/>
      </w:rPr>
    </w:lvl>
    <w:lvl w:ilvl="1" w:tplc="04050003" w:tentative="1">
      <w:start w:val="1"/>
      <w:numFmt w:val="bullet"/>
      <w:lvlText w:val="o"/>
      <w:lvlJc w:val="left"/>
      <w:pPr>
        <w:tabs>
          <w:tab w:val="num" w:pos="2404"/>
        </w:tabs>
        <w:ind w:left="2404" w:hanging="360"/>
      </w:pPr>
      <w:rPr>
        <w:rFonts w:ascii="Courier New" w:hAnsi="Courier New" w:cs="Courier New" w:hint="default"/>
      </w:rPr>
    </w:lvl>
    <w:lvl w:ilvl="2" w:tplc="04050005" w:tentative="1">
      <w:start w:val="1"/>
      <w:numFmt w:val="bullet"/>
      <w:lvlText w:val=""/>
      <w:lvlJc w:val="left"/>
      <w:pPr>
        <w:tabs>
          <w:tab w:val="num" w:pos="3124"/>
        </w:tabs>
        <w:ind w:left="3124" w:hanging="360"/>
      </w:pPr>
      <w:rPr>
        <w:rFonts w:ascii="Wingdings" w:hAnsi="Wingdings" w:hint="default"/>
      </w:rPr>
    </w:lvl>
    <w:lvl w:ilvl="3" w:tplc="04050001" w:tentative="1">
      <w:start w:val="1"/>
      <w:numFmt w:val="bullet"/>
      <w:lvlText w:val=""/>
      <w:lvlJc w:val="left"/>
      <w:pPr>
        <w:tabs>
          <w:tab w:val="num" w:pos="3844"/>
        </w:tabs>
        <w:ind w:left="3844" w:hanging="360"/>
      </w:pPr>
      <w:rPr>
        <w:rFonts w:ascii="Symbol" w:hAnsi="Symbol" w:hint="default"/>
      </w:rPr>
    </w:lvl>
    <w:lvl w:ilvl="4" w:tplc="04050003" w:tentative="1">
      <w:start w:val="1"/>
      <w:numFmt w:val="bullet"/>
      <w:lvlText w:val="o"/>
      <w:lvlJc w:val="left"/>
      <w:pPr>
        <w:tabs>
          <w:tab w:val="num" w:pos="4564"/>
        </w:tabs>
        <w:ind w:left="4564" w:hanging="360"/>
      </w:pPr>
      <w:rPr>
        <w:rFonts w:ascii="Courier New" w:hAnsi="Courier New" w:cs="Courier New" w:hint="default"/>
      </w:rPr>
    </w:lvl>
    <w:lvl w:ilvl="5" w:tplc="04050005" w:tentative="1">
      <w:start w:val="1"/>
      <w:numFmt w:val="bullet"/>
      <w:lvlText w:val=""/>
      <w:lvlJc w:val="left"/>
      <w:pPr>
        <w:tabs>
          <w:tab w:val="num" w:pos="5284"/>
        </w:tabs>
        <w:ind w:left="5284" w:hanging="360"/>
      </w:pPr>
      <w:rPr>
        <w:rFonts w:ascii="Wingdings" w:hAnsi="Wingdings" w:hint="default"/>
      </w:rPr>
    </w:lvl>
    <w:lvl w:ilvl="6" w:tplc="04050001" w:tentative="1">
      <w:start w:val="1"/>
      <w:numFmt w:val="bullet"/>
      <w:lvlText w:val=""/>
      <w:lvlJc w:val="left"/>
      <w:pPr>
        <w:tabs>
          <w:tab w:val="num" w:pos="6004"/>
        </w:tabs>
        <w:ind w:left="6004" w:hanging="360"/>
      </w:pPr>
      <w:rPr>
        <w:rFonts w:ascii="Symbol" w:hAnsi="Symbol" w:hint="default"/>
      </w:rPr>
    </w:lvl>
    <w:lvl w:ilvl="7" w:tplc="04050003" w:tentative="1">
      <w:start w:val="1"/>
      <w:numFmt w:val="bullet"/>
      <w:lvlText w:val="o"/>
      <w:lvlJc w:val="left"/>
      <w:pPr>
        <w:tabs>
          <w:tab w:val="num" w:pos="6724"/>
        </w:tabs>
        <w:ind w:left="6724" w:hanging="360"/>
      </w:pPr>
      <w:rPr>
        <w:rFonts w:ascii="Courier New" w:hAnsi="Courier New" w:cs="Courier New" w:hint="default"/>
      </w:rPr>
    </w:lvl>
    <w:lvl w:ilvl="8" w:tplc="04050005" w:tentative="1">
      <w:start w:val="1"/>
      <w:numFmt w:val="bullet"/>
      <w:lvlText w:val=""/>
      <w:lvlJc w:val="left"/>
      <w:pPr>
        <w:tabs>
          <w:tab w:val="num" w:pos="7444"/>
        </w:tabs>
        <w:ind w:left="7444" w:hanging="360"/>
      </w:pPr>
      <w:rPr>
        <w:rFonts w:ascii="Wingdings" w:hAnsi="Wingdings" w:hint="default"/>
      </w:rPr>
    </w:lvl>
  </w:abstractNum>
  <w:abstractNum w:abstractNumId="22" w15:restartNumberingAfterBreak="0">
    <w:nsid w:val="38694977"/>
    <w:multiLevelType w:val="hybridMultilevel"/>
    <w:tmpl w:val="37C021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A41875"/>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408A2881"/>
    <w:multiLevelType w:val="hybridMultilevel"/>
    <w:tmpl w:val="20BC44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6FB5D9A"/>
    <w:multiLevelType w:val="singleLevel"/>
    <w:tmpl w:val="0FD0F7C4"/>
    <w:lvl w:ilvl="0">
      <w:start w:val="1"/>
      <w:numFmt w:val="bullet"/>
      <w:pStyle w:val="odraz"/>
      <w:lvlText w:val=""/>
      <w:lvlJc w:val="left"/>
      <w:pPr>
        <w:tabs>
          <w:tab w:val="num" w:pos="927"/>
        </w:tabs>
        <w:ind w:left="284" w:firstLine="283"/>
      </w:pPr>
      <w:rPr>
        <w:rFonts w:ascii="Symbol" w:hAnsi="Symbol" w:hint="default"/>
      </w:rPr>
    </w:lvl>
  </w:abstractNum>
  <w:abstractNum w:abstractNumId="26" w15:restartNumberingAfterBreak="0">
    <w:nsid w:val="47997C0C"/>
    <w:multiLevelType w:val="singleLevel"/>
    <w:tmpl w:val="EA901B84"/>
    <w:lvl w:ilvl="0">
      <w:start w:val="1"/>
      <w:numFmt w:val="bullet"/>
      <w:pStyle w:val="Znaka2"/>
      <w:lvlText w:val=""/>
      <w:lvlJc w:val="left"/>
      <w:pPr>
        <w:tabs>
          <w:tab w:val="num" w:pos="360"/>
        </w:tabs>
        <w:ind w:left="360" w:hanging="360"/>
      </w:pPr>
      <w:rPr>
        <w:rFonts w:ascii="Wingdings" w:hAnsi="Wingdings" w:hint="default"/>
      </w:rPr>
    </w:lvl>
  </w:abstractNum>
  <w:abstractNum w:abstractNumId="27" w15:restartNumberingAfterBreak="0">
    <w:nsid w:val="4C3A0635"/>
    <w:multiLevelType w:val="hybridMultilevel"/>
    <w:tmpl w:val="98265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194AAF"/>
    <w:multiLevelType w:val="hybridMultilevel"/>
    <w:tmpl w:val="C5BEA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B823D3"/>
    <w:multiLevelType w:val="hybridMultilevel"/>
    <w:tmpl w:val="FEF46E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576D4729"/>
    <w:multiLevelType w:val="hybridMultilevel"/>
    <w:tmpl w:val="75DA9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1E3FED"/>
    <w:multiLevelType w:val="hybridMultilevel"/>
    <w:tmpl w:val="76FAC1A4"/>
    <w:lvl w:ilvl="0" w:tplc="BD481C6C">
      <w:start w:val="1"/>
      <w:numFmt w:val="bullet"/>
      <w:lvlText w:val="•"/>
      <w:lvlJc w:val="left"/>
      <w:pPr>
        <w:ind w:left="1440" w:hanging="720"/>
      </w:pPr>
      <w:rPr>
        <w:rFonts w:ascii="Verdana" w:eastAsiaTheme="minorHAnsi"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952365B"/>
    <w:multiLevelType w:val="hybridMultilevel"/>
    <w:tmpl w:val="18889C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364A34"/>
    <w:multiLevelType w:val="hybridMultilevel"/>
    <w:tmpl w:val="06E01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F30CB8"/>
    <w:multiLevelType w:val="singleLevel"/>
    <w:tmpl w:val="2A183574"/>
    <w:lvl w:ilvl="0">
      <w:start w:val="1"/>
      <w:numFmt w:val="bullet"/>
      <w:pStyle w:val="Znaka1"/>
      <w:lvlText w:val=""/>
      <w:lvlJc w:val="left"/>
      <w:pPr>
        <w:tabs>
          <w:tab w:val="num" w:pos="927"/>
        </w:tabs>
        <w:ind w:left="284" w:firstLine="283"/>
      </w:pPr>
      <w:rPr>
        <w:rFonts w:ascii="Symbol" w:hAnsi="Symbol" w:hint="default"/>
      </w:rPr>
    </w:lvl>
  </w:abstractNum>
  <w:abstractNum w:abstractNumId="35" w15:restartNumberingAfterBreak="0">
    <w:nsid w:val="6D5B1680"/>
    <w:multiLevelType w:val="hybridMultilevel"/>
    <w:tmpl w:val="A326987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282786"/>
    <w:multiLevelType w:val="hybridMultilevel"/>
    <w:tmpl w:val="F42A8A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434502"/>
    <w:multiLevelType w:val="hybridMultilevel"/>
    <w:tmpl w:val="636ED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EC79EC"/>
    <w:multiLevelType w:val="singleLevel"/>
    <w:tmpl w:val="942AB6AA"/>
    <w:lvl w:ilvl="0">
      <w:start w:val="1"/>
      <w:numFmt w:val="bullet"/>
      <w:pStyle w:val="odraz2"/>
      <w:lvlText w:val=""/>
      <w:lvlJc w:val="left"/>
      <w:pPr>
        <w:tabs>
          <w:tab w:val="num" w:pos="1494"/>
        </w:tabs>
        <w:ind w:left="284" w:firstLine="850"/>
      </w:pPr>
      <w:rPr>
        <w:rFonts w:ascii="Wingdings" w:hAnsi="Wingdings" w:hint="default"/>
      </w:rPr>
    </w:lvl>
  </w:abstractNum>
  <w:abstractNum w:abstractNumId="39" w15:restartNumberingAfterBreak="0">
    <w:nsid w:val="7D962D9D"/>
    <w:multiLevelType w:val="hybridMultilevel"/>
    <w:tmpl w:val="E4869842"/>
    <w:lvl w:ilvl="0" w:tplc="04050001">
      <w:start w:val="1"/>
      <w:numFmt w:val="bullet"/>
      <w:lvlText w:val=""/>
      <w:lvlJc w:val="left"/>
      <w:pPr>
        <w:tabs>
          <w:tab w:val="num" w:pos="1500"/>
        </w:tabs>
        <w:ind w:left="1500" w:hanging="360"/>
      </w:pPr>
      <w:rPr>
        <w:rFonts w:ascii="Symbol" w:hAnsi="Symbol" w:hint="default"/>
      </w:rPr>
    </w:lvl>
    <w:lvl w:ilvl="1" w:tplc="B2AC2828">
      <w:start w:val="1"/>
      <w:numFmt w:val="bullet"/>
      <w:pStyle w:val="odsazen"/>
      <w:lvlText w:val="o"/>
      <w:lvlJc w:val="left"/>
      <w:pPr>
        <w:tabs>
          <w:tab w:val="num" w:pos="2220"/>
        </w:tabs>
        <w:ind w:left="2220" w:hanging="360"/>
      </w:pPr>
      <w:rPr>
        <w:rFonts w:ascii="Courier New" w:hAnsi="Courier New" w:cs="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cs="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cs="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40" w15:restartNumberingAfterBreak="0">
    <w:nsid w:val="7E317F66"/>
    <w:multiLevelType w:val="hybridMultilevel"/>
    <w:tmpl w:val="8684E9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9"/>
  </w:num>
  <w:num w:numId="4">
    <w:abstractNumId w:val="12"/>
  </w:num>
  <w:num w:numId="5">
    <w:abstractNumId w:val="15"/>
  </w:num>
  <w:num w:numId="6">
    <w:abstractNumId w:val="30"/>
  </w:num>
  <w:num w:numId="7">
    <w:abstractNumId w:val="24"/>
  </w:num>
  <w:num w:numId="8">
    <w:abstractNumId w:val="27"/>
  </w:num>
  <w:num w:numId="9">
    <w:abstractNumId w:val="0"/>
  </w:num>
  <w:num w:numId="10">
    <w:abstractNumId w:val="1"/>
  </w:num>
  <w:num w:numId="11">
    <w:abstractNumId w:val="19"/>
  </w:num>
  <w:num w:numId="12">
    <w:abstractNumId w:val="6"/>
  </w:num>
  <w:num w:numId="13">
    <w:abstractNumId w:val="14"/>
  </w:num>
  <w:num w:numId="14">
    <w:abstractNumId w:val="25"/>
  </w:num>
  <w:num w:numId="15">
    <w:abstractNumId w:val="13"/>
  </w:num>
  <w:num w:numId="16">
    <w:abstractNumId w:val="38"/>
  </w:num>
  <w:num w:numId="17">
    <w:abstractNumId w:val="34"/>
  </w:num>
  <w:num w:numId="18">
    <w:abstractNumId w:val="26"/>
  </w:num>
  <w:num w:numId="19">
    <w:abstractNumId w:val="10"/>
  </w:num>
  <w:num w:numId="20">
    <w:abstractNumId w:val="39"/>
  </w:num>
  <w:num w:numId="21">
    <w:abstractNumId w:val="37"/>
  </w:num>
  <w:num w:numId="22">
    <w:abstractNumId w:val="2"/>
  </w:num>
  <w:num w:numId="23">
    <w:abstractNumId w:val="40"/>
  </w:num>
  <w:num w:numId="24">
    <w:abstractNumId w:val="23"/>
  </w:num>
  <w:num w:numId="25">
    <w:abstractNumId w:val="18"/>
  </w:num>
  <w:num w:numId="26">
    <w:abstractNumId w:val="3"/>
  </w:num>
  <w:num w:numId="27">
    <w:abstractNumId w:val="11"/>
  </w:num>
  <w:num w:numId="28">
    <w:abstractNumId w:val="33"/>
  </w:num>
  <w:num w:numId="29">
    <w:abstractNumId w:val="31"/>
  </w:num>
  <w:num w:numId="30">
    <w:abstractNumId w:val="21"/>
  </w:num>
  <w:num w:numId="31">
    <w:abstractNumId w:val="28"/>
  </w:num>
  <w:num w:numId="32">
    <w:abstractNumId w:val="35"/>
  </w:num>
  <w:num w:numId="33">
    <w:abstractNumId w:val="17"/>
  </w:num>
  <w:num w:numId="34">
    <w:abstractNumId w:val="7"/>
  </w:num>
  <w:num w:numId="35">
    <w:abstractNumId w:val="4"/>
  </w:num>
  <w:num w:numId="36">
    <w:abstractNumId w:val="20"/>
  </w:num>
  <w:num w:numId="37">
    <w:abstractNumId w:val="16"/>
  </w:num>
  <w:num w:numId="38">
    <w:abstractNumId w:val="22"/>
  </w:num>
  <w:num w:numId="39">
    <w:abstractNumId w:val="36"/>
  </w:num>
  <w:num w:numId="40">
    <w:abstractNumId w:val="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A2"/>
    <w:rsid w:val="000217CF"/>
    <w:rsid w:val="00022A68"/>
    <w:rsid w:val="0003194B"/>
    <w:rsid w:val="0007722C"/>
    <w:rsid w:val="0009229A"/>
    <w:rsid w:val="000A1969"/>
    <w:rsid w:val="000A4EEC"/>
    <w:rsid w:val="000F38E0"/>
    <w:rsid w:val="000F7137"/>
    <w:rsid w:val="000F769F"/>
    <w:rsid w:val="00104176"/>
    <w:rsid w:val="00111EF1"/>
    <w:rsid w:val="00115166"/>
    <w:rsid w:val="00115334"/>
    <w:rsid w:val="00116C00"/>
    <w:rsid w:val="00141FEC"/>
    <w:rsid w:val="0014758A"/>
    <w:rsid w:val="00176E2D"/>
    <w:rsid w:val="00191872"/>
    <w:rsid w:val="001F0B6D"/>
    <w:rsid w:val="001F4DDB"/>
    <w:rsid w:val="001F6C12"/>
    <w:rsid w:val="002006F6"/>
    <w:rsid w:val="00210C37"/>
    <w:rsid w:val="0022073F"/>
    <w:rsid w:val="00224BAF"/>
    <w:rsid w:val="00232BC6"/>
    <w:rsid w:val="0024489F"/>
    <w:rsid w:val="00244A57"/>
    <w:rsid w:val="002522CE"/>
    <w:rsid w:val="00296DE4"/>
    <w:rsid w:val="002A55E2"/>
    <w:rsid w:val="002C1621"/>
    <w:rsid w:val="002C42CB"/>
    <w:rsid w:val="002E1373"/>
    <w:rsid w:val="002E2FB3"/>
    <w:rsid w:val="002E4E1D"/>
    <w:rsid w:val="00306652"/>
    <w:rsid w:val="00317449"/>
    <w:rsid w:val="0033475A"/>
    <w:rsid w:val="003543CC"/>
    <w:rsid w:val="00363D63"/>
    <w:rsid w:val="00372F9B"/>
    <w:rsid w:val="0037601B"/>
    <w:rsid w:val="00377730"/>
    <w:rsid w:val="0037773C"/>
    <w:rsid w:val="00392797"/>
    <w:rsid w:val="003A0C8B"/>
    <w:rsid w:val="003A4DE4"/>
    <w:rsid w:val="003F1976"/>
    <w:rsid w:val="003F2833"/>
    <w:rsid w:val="003F4FB6"/>
    <w:rsid w:val="00401676"/>
    <w:rsid w:val="00416F9C"/>
    <w:rsid w:val="00433F5E"/>
    <w:rsid w:val="00450E9D"/>
    <w:rsid w:val="00464441"/>
    <w:rsid w:val="004903D6"/>
    <w:rsid w:val="00490D36"/>
    <w:rsid w:val="004C3CE8"/>
    <w:rsid w:val="004D1572"/>
    <w:rsid w:val="004E057D"/>
    <w:rsid w:val="00503194"/>
    <w:rsid w:val="005176D0"/>
    <w:rsid w:val="00532A03"/>
    <w:rsid w:val="00532AD8"/>
    <w:rsid w:val="00536453"/>
    <w:rsid w:val="005656FD"/>
    <w:rsid w:val="005726C2"/>
    <w:rsid w:val="00575B13"/>
    <w:rsid w:val="005A6BF4"/>
    <w:rsid w:val="005B3A97"/>
    <w:rsid w:val="005C0DF8"/>
    <w:rsid w:val="005C4A16"/>
    <w:rsid w:val="005C6ABC"/>
    <w:rsid w:val="005E0F6D"/>
    <w:rsid w:val="005E77ED"/>
    <w:rsid w:val="005F0928"/>
    <w:rsid w:val="00602CFB"/>
    <w:rsid w:val="006225D3"/>
    <w:rsid w:val="0063192C"/>
    <w:rsid w:val="00635A9A"/>
    <w:rsid w:val="00654914"/>
    <w:rsid w:val="00667300"/>
    <w:rsid w:val="006821B4"/>
    <w:rsid w:val="00696D5C"/>
    <w:rsid w:val="006A7723"/>
    <w:rsid w:val="006B149C"/>
    <w:rsid w:val="006B71C4"/>
    <w:rsid w:val="006B791F"/>
    <w:rsid w:val="006D488C"/>
    <w:rsid w:val="006E3087"/>
    <w:rsid w:val="006F0084"/>
    <w:rsid w:val="006F0C19"/>
    <w:rsid w:val="0070681C"/>
    <w:rsid w:val="00713A49"/>
    <w:rsid w:val="00722D2F"/>
    <w:rsid w:val="00727826"/>
    <w:rsid w:val="00727D57"/>
    <w:rsid w:val="007335F5"/>
    <w:rsid w:val="00753DA2"/>
    <w:rsid w:val="00774091"/>
    <w:rsid w:val="0079365C"/>
    <w:rsid w:val="00794010"/>
    <w:rsid w:val="00795025"/>
    <w:rsid w:val="007A17B7"/>
    <w:rsid w:val="007A18CD"/>
    <w:rsid w:val="007A204C"/>
    <w:rsid w:val="007A3CD6"/>
    <w:rsid w:val="007A7DB2"/>
    <w:rsid w:val="007B1F56"/>
    <w:rsid w:val="007C4DFA"/>
    <w:rsid w:val="007D2718"/>
    <w:rsid w:val="007E347E"/>
    <w:rsid w:val="007E4CF8"/>
    <w:rsid w:val="007E77E3"/>
    <w:rsid w:val="007E7C17"/>
    <w:rsid w:val="007F7031"/>
    <w:rsid w:val="00805876"/>
    <w:rsid w:val="00810A4E"/>
    <w:rsid w:val="00827156"/>
    <w:rsid w:val="0085130B"/>
    <w:rsid w:val="0085221B"/>
    <w:rsid w:val="0086464C"/>
    <w:rsid w:val="00875DC4"/>
    <w:rsid w:val="0087784D"/>
    <w:rsid w:val="00880776"/>
    <w:rsid w:val="008958A2"/>
    <w:rsid w:val="008D4B96"/>
    <w:rsid w:val="008D5D0D"/>
    <w:rsid w:val="008D798F"/>
    <w:rsid w:val="008F25BC"/>
    <w:rsid w:val="008F6993"/>
    <w:rsid w:val="00903997"/>
    <w:rsid w:val="00930879"/>
    <w:rsid w:val="00935828"/>
    <w:rsid w:val="00944CAB"/>
    <w:rsid w:val="00946947"/>
    <w:rsid w:val="00955625"/>
    <w:rsid w:val="00960D3B"/>
    <w:rsid w:val="00967D6F"/>
    <w:rsid w:val="00991692"/>
    <w:rsid w:val="009927A3"/>
    <w:rsid w:val="009A7D3E"/>
    <w:rsid w:val="009B2F32"/>
    <w:rsid w:val="009B720D"/>
    <w:rsid w:val="009C4FBA"/>
    <w:rsid w:val="009D5175"/>
    <w:rsid w:val="009E3B97"/>
    <w:rsid w:val="009E55EB"/>
    <w:rsid w:val="009F32D0"/>
    <w:rsid w:val="00A238C3"/>
    <w:rsid w:val="00A2500F"/>
    <w:rsid w:val="00A27B68"/>
    <w:rsid w:val="00A37B58"/>
    <w:rsid w:val="00A40AAF"/>
    <w:rsid w:val="00A435B7"/>
    <w:rsid w:val="00A66123"/>
    <w:rsid w:val="00A6769F"/>
    <w:rsid w:val="00A71A00"/>
    <w:rsid w:val="00A8234C"/>
    <w:rsid w:val="00A86277"/>
    <w:rsid w:val="00AA4948"/>
    <w:rsid w:val="00AA7E2A"/>
    <w:rsid w:val="00AF06E0"/>
    <w:rsid w:val="00AF449B"/>
    <w:rsid w:val="00B026C2"/>
    <w:rsid w:val="00B1563A"/>
    <w:rsid w:val="00B3041B"/>
    <w:rsid w:val="00B311D7"/>
    <w:rsid w:val="00B364CF"/>
    <w:rsid w:val="00B36DF0"/>
    <w:rsid w:val="00B411EF"/>
    <w:rsid w:val="00B5688E"/>
    <w:rsid w:val="00B61AF4"/>
    <w:rsid w:val="00B937BA"/>
    <w:rsid w:val="00BA1FB7"/>
    <w:rsid w:val="00BB39E5"/>
    <w:rsid w:val="00BB68FB"/>
    <w:rsid w:val="00BB6AEC"/>
    <w:rsid w:val="00BC3D74"/>
    <w:rsid w:val="00BD7549"/>
    <w:rsid w:val="00C008CC"/>
    <w:rsid w:val="00C17A97"/>
    <w:rsid w:val="00C20C92"/>
    <w:rsid w:val="00C25F54"/>
    <w:rsid w:val="00C449A4"/>
    <w:rsid w:val="00C52620"/>
    <w:rsid w:val="00C572FC"/>
    <w:rsid w:val="00C61746"/>
    <w:rsid w:val="00C66B4A"/>
    <w:rsid w:val="00C811F7"/>
    <w:rsid w:val="00C82954"/>
    <w:rsid w:val="00C8431C"/>
    <w:rsid w:val="00C93EE3"/>
    <w:rsid w:val="00CA0E10"/>
    <w:rsid w:val="00CA2006"/>
    <w:rsid w:val="00CE78B2"/>
    <w:rsid w:val="00D05EC8"/>
    <w:rsid w:val="00D14160"/>
    <w:rsid w:val="00D24D33"/>
    <w:rsid w:val="00D42405"/>
    <w:rsid w:val="00D54F96"/>
    <w:rsid w:val="00D62572"/>
    <w:rsid w:val="00D71755"/>
    <w:rsid w:val="00D80C80"/>
    <w:rsid w:val="00D86750"/>
    <w:rsid w:val="00DA1474"/>
    <w:rsid w:val="00DB161C"/>
    <w:rsid w:val="00DC205F"/>
    <w:rsid w:val="00DF169A"/>
    <w:rsid w:val="00DF266A"/>
    <w:rsid w:val="00E11D5C"/>
    <w:rsid w:val="00E14369"/>
    <w:rsid w:val="00E400C2"/>
    <w:rsid w:val="00E54012"/>
    <w:rsid w:val="00E74C2D"/>
    <w:rsid w:val="00EA236D"/>
    <w:rsid w:val="00EA7F17"/>
    <w:rsid w:val="00EB17F2"/>
    <w:rsid w:val="00EB5E40"/>
    <w:rsid w:val="00EC2F63"/>
    <w:rsid w:val="00EE1E67"/>
    <w:rsid w:val="00EF042C"/>
    <w:rsid w:val="00F07FDB"/>
    <w:rsid w:val="00F204B4"/>
    <w:rsid w:val="00F61124"/>
    <w:rsid w:val="00F67130"/>
    <w:rsid w:val="00F70091"/>
    <w:rsid w:val="00F7770A"/>
    <w:rsid w:val="00FA0BC9"/>
    <w:rsid w:val="00FF7D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5:chartTrackingRefBased/>
  <w15:docId w15:val="{90108C5D-FCC2-4A5F-AE34-BF562037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8"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7"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7D6F"/>
    <w:pPr>
      <w:spacing w:after="80" w:line="240" w:lineRule="auto"/>
      <w:jc w:val="both"/>
    </w:pPr>
  </w:style>
  <w:style w:type="paragraph" w:styleId="Nadpis1">
    <w:name w:val="heading 1"/>
    <w:basedOn w:val="Normln"/>
    <w:next w:val="Normln"/>
    <w:link w:val="Nadpis1Char"/>
    <w:uiPriority w:val="9"/>
    <w:qFormat/>
    <w:rsid w:val="00967D6F"/>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unhideWhenUsed/>
    <w:qFormat/>
    <w:rsid w:val="00967D6F"/>
    <w:pPr>
      <w:keepNext/>
      <w:keepLines/>
      <w:numPr>
        <w:ilvl w:val="1"/>
        <w:numId w:val="1"/>
      </w:numPr>
      <w:spacing w:before="120" w:after="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967D6F"/>
    <w:pPr>
      <w:keepNext/>
      <w:keepLines/>
      <w:numPr>
        <w:ilvl w:val="2"/>
        <w:numId w:val="1"/>
      </w:numPr>
      <w:spacing w:before="60" w:after="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967D6F"/>
    <w:pPr>
      <w:keepNext/>
      <w:keepLines/>
      <w:numPr>
        <w:ilvl w:val="3"/>
        <w:numId w:val="1"/>
      </w:numPr>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9"/>
    <w:unhideWhenUsed/>
    <w:qFormat/>
    <w:rsid w:val="00967D6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967D6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967D6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967D6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967D6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67D6F"/>
    <w:rPr>
      <w:rFonts w:asciiTheme="majorHAnsi" w:eastAsiaTheme="majorEastAsia" w:hAnsiTheme="majorHAnsi" w:cstheme="majorBidi"/>
      <w:b/>
      <w:sz w:val="32"/>
      <w:szCs w:val="32"/>
    </w:rPr>
  </w:style>
  <w:style w:type="character" w:customStyle="1" w:styleId="Nadpis2Char">
    <w:name w:val="Nadpis 2 Char"/>
    <w:basedOn w:val="Standardnpsmoodstavce"/>
    <w:link w:val="Nadpis2"/>
    <w:uiPriority w:val="9"/>
    <w:rsid w:val="00967D6F"/>
    <w:rPr>
      <w:rFonts w:asciiTheme="majorHAnsi" w:eastAsiaTheme="majorEastAsia" w:hAnsiTheme="majorHAnsi" w:cstheme="majorBidi"/>
      <w:b/>
      <w:sz w:val="26"/>
      <w:szCs w:val="26"/>
    </w:rPr>
  </w:style>
  <w:style w:type="character" w:customStyle="1" w:styleId="Nadpis3Char">
    <w:name w:val="Nadpis 3 Char"/>
    <w:basedOn w:val="Standardnpsmoodstavce"/>
    <w:link w:val="Nadpis3"/>
    <w:uiPriority w:val="9"/>
    <w:rsid w:val="00967D6F"/>
    <w:rPr>
      <w:rFonts w:asciiTheme="majorHAnsi" w:eastAsiaTheme="majorEastAsia" w:hAnsiTheme="majorHAnsi" w:cstheme="majorBidi"/>
      <w:b/>
      <w:sz w:val="24"/>
      <w:szCs w:val="24"/>
    </w:rPr>
  </w:style>
  <w:style w:type="character" w:customStyle="1" w:styleId="Nadpis4Char">
    <w:name w:val="Nadpis 4 Char"/>
    <w:basedOn w:val="Standardnpsmoodstavce"/>
    <w:link w:val="Nadpis4"/>
    <w:uiPriority w:val="9"/>
    <w:rsid w:val="00967D6F"/>
    <w:rPr>
      <w:rFonts w:asciiTheme="majorHAnsi" w:eastAsiaTheme="majorEastAsia" w:hAnsiTheme="majorHAnsi" w:cstheme="majorBidi"/>
      <w:i/>
      <w:iCs/>
    </w:rPr>
  </w:style>
  <w:style w:type="character" w:customStyle="1" w:styleId="Nadpis5Char">
    <w:name w:val="Nadpis 5 Char"/>
    <w:basedOn w:val="Standardnpsmoodstavce"/>
    <w:link w:val="Nadpis5"/>
    <w:uiPriority w:val="9"/>
    <w:rsid w:val="00967D6F"/>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967D6F"/>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967D6F"/>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rsid w:val="00967D6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967D6F"/>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link w:val="OdstavecseseznamemChar"/>
    <w:uiPriority w:val="34"/>
    <w:qFormat/>
    <w:rsid w:val="00967D6F"/>
    <w:pPr>
      <w:ind w:left="720"/>
      <w:contextualSpacing/>
    </w:pPr>
  </w:style>
  <w:style w:type="character" w:customStyle="1" w:styleId="TitulekChar">
    <w:name w:val="Titulek Char"/>
    <w:link w:val="Titulek"/>
    <w:uiPriority w:val="35"/>
    <w:locked/>
    <w:rsid w:val="002C42CB"/>
    <w:rPr>
      <w:i/>
      <w:iCs/>
      <w:sz w:val="18"/>
      <w:szCs w:val="18"/>
    </w:rPr>
  </w:style>
  <w:style w:type="paragraph" w:styleId="Titulek">
    <w:name w:val="caption"/>
    <w:basedOn w:val="Normln"/>
    <w:next w:val="Normln"/>
    <w:link w:val="TitulekChar"/>
    <w:uiPriority w:val="35"/>
    <w:unhideWhenUsed/>
    <w:qFormat/>
    <w:rsid w:val="002C42CB"/>
    <w:pPr>
      <w:spacing w:before="120" w:after="120"/>
    </w:pPr>
    <w:rPr>
      <w:i/>
      <w:iCs/>
      <w:sz w:val="18"/>
      <w:szCs w:val="18"/>
    </w:rPr>
  </w:style>
  <w:style w:type="table" w:customStyle="1" w:styleId="Mkatabulky3">
    <w:name w:val="Mřížka tabulky3"/>
    <w:basedOn w:val="Normlntabulka"/>
    <w:next w:val="Mkatabulky"/>
    <w:uiPriority w:val="39"/>
    <w:rsid w:val="00D42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rsid w:val="00D42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FF7D35"/>
  </w:style>
  <w:style w:type="paragraph" w:styleId="Textpoznpodarou">
    <w:name w:val="footnote text"/>
    <w:aliases w:val="Sprotna opomba - besedilo Znak1,Sprotna opomba - besedilo Znak Znak2,Sprotna opomba - besedilo Znak1 Znak Znak1,Sprotna opomba - besedilo Znak1 Znak Znak Znak,Sprotna opomba - besedilo Znak Znak Znak Znak Znak,Char,Char1, Char"/>
    <w:basedOn w:val="Normln"/>
    <w:link w:val="TextpoznpodarouChar"/>
    <w:uiPriority w:val="99"/>
    <w:rsid w:val="00FF7D35"/>
    <w:pPr>
      <w:tabs>
        <w:tab w:val="left" w:pos="187"/>
      </w:tabs>
      <w:spacing w:before="120" w:after="0" w:line="220" w:lineRule="exact"/>
      <w:ind w:left="187" w:hanging="187"/>
    </w:pPr>
    <w:rPr>
      <w:rFonts w:ascii="Calibri" w:eastAsia="Times New Roman" w:hAnsi="Calibri" w:cs="Times New Roman"/>
      <w:sz w:val="18"/>
      <w:szCs w:val="20"/>
      <w:lang w:eastAsia="cs-CZ"/>
    </w:rPr>
  </w:style>
  <w:style w:type="character" w:customStyle="1" w:styleId="TextpoznpodarouChar">
    <w:name w:val="Text pozn. pod čarou Char"/>
    <w:aliases w:val="Sprotna opomba - besedilo Znak1 Char,Sprotna opomba - besedilo Znak Znak2 Char,Sprotna opomba - besedilo Znak1 Znak Znak1 Char,Sprotna opomba - besedilo Znak1 Znak Znak Znak Char,Char Char,Char1 Char, Char Char"/>
    <w:basedOn w:val="Standardnpsmoodstavce"/>
    <w:link w:val="Textpoznpodarou"/>
    <w:uiPriority w:val="99"/>
    <w:rsid w:val="00FF7D35"/>
    <w:rPr>
      <w:rFonts w:ascii="Calibri" w:eastAsia="Times New Roman" w:hAnsi="Calibri" w:cs="Times New Roman"/>
      <w:sz w:val="18"/>
      <w:szCs w:val="20"/>
      <w:lang w:eastAsia="cs-CZ"/>
    </w:rPr>
  </w:style>
  <w:style w:type="character" w:styleId="Znakapoznpodarou">
    <w:name w:val="footnote reference"/>
    <w:basedOn w:val="Standardnpsmoodstavce"/>
    <w:uiPriority w:val="99"/>
    <w:semiHidden/>
    <w:rsid w:val="00FF7D35"/>
    <w:rPr>
      <w:vertAlign w:val="superscript"/>
    </w:rPr>
  </w:style>
  <w:style w:type="paragraph" w:customStyle="1" w:styleId="tabulkatext">
    <w:name w:val="tabulka text"/>
    <w:basedOn w:val="Normln"/>
    <w:link w:val="tabulkatextChar"/>
    <w:qFormat/>
    <w:rsid w:val="00FF7D35"/>
    <w:pPr>
      <w:spacing w:before="60" w:after="60"/>
      <w:jc w:val="left"/>
    </w:pPr>
    <w:rPr>
      <w:color w:val="000000"/>
      <w:sz w:val="16"/>
      <w:szCs w:val="16"/>
    </w:rPr>
  </w:style>
  <w:style w:type="character" w:customStyle="1" w:styleId="tabulkatextChar">
    <w:name w:val="tabulka text Char"/>
    <w:basedOn w:val="Standardnpsmoodstavce"/>
    <w:link w:val="tabulkatext"/>
    <w:rsid w:val="00FF7D35"/>
    <w:rPr>
      <w:color w:val="000000"/>
      <w:sz w:val="16"/>
      <w:szCs w:val="16"/>
    </w:rPr>
  </w:style>
  <w:style w:type="paragraph" w:styleId="Datum">
    <w:name w:val="Date"/>
    <w:basedOn w:val="Normln"/>
    <w:next w:val="Normln"/>
    <w:link w:val="DatumChar"/>
    <w:uiPriority w:val="99"/>
    <w:rsid w:val="00FF7D35"/>
    <w:pPr>
      <w:spacing w:before="160" w:after="0" w:line="200" w:lineRule="atLeast"/>
      <w:jc w:val="left"/>
    </w:pPr>
    <w:rPr>
      <w:rFonts w:asciiTheme="majorHAnsi" w:hAnsiTheme="majorHAnsi"/>
      <w:sz w:val="12"/>
      <w:szCs w:val="18"/>
    </w:rPr>
  </w:style>
  <w:style w:type="character" w:customStyle="1" w:styleId="DatumChar">
    <w:name w:val="Datum Char"/>
    <w:basedOn w:val="Standardnpsmoodstavce"/>
    <w:link w:val="Datum"/>
    <w:uiPriority w:val="99"/>
    <w:rsid w:val="00FF7D35"/>
    <w:rPr>
      <w:rFonts w:asciiTheme="majorHAnsi" w:hAnsiTheme="majorHAnsi"/>
      <w:sz w:val="12"/>
      <w:szCs w:val="18"/>
    </w:rPr>
  </w:style>
  <w:style w:type="paragraph" w:styleId="Seznamsodrkami">
    <w:name w:val="List Bullet"/>
    <w:basedOn w:val="Normln"/>
    <w:qFormat/>
    <w:rsid w:val="00FF7D35"/>
    <w:pPr>
      <w:spacing w:before="160" w:line="288" w:lineRule="auto"/>
      <w:ind w:left="720" w:hanging="363"/>
      <w:jc w:val="left"/>
    </w:pPr>
    <w:rPr>
      <w:sz w:val="18"/>
      <w:szCs w:val="18"/>
    </w:rPr>
  </w:style>
  <w:style w:type="paragraph" w:styleId="Seznamsodrkami2">
    <w:name w:val="List Bullet 2"/>
    <w:basedOn w:val="Normln"/>
    <w:uiPriority w:val="7"/>
    <w:rsid w:val="00FF7D35"/>
    <w:pPr>
      <w:spacing w:before="160" w:after="60" w:line="288" w:lineRule="auto"/>
      <w:ind w:left="1440" w:hanging="363"/>
      <w:jc w:val="left"/>
    </w:pPr>
    <w:rPr>
      <w:sz w:val="18"/>
      <w:szCs w:val="18"/>
    </w:rPr>
  </w:style>
  <w:style w:type="paragraph" w:styleId="Seznamsodrkami3">
    <w:name w:val="List Bullet 3"/>
    <w:basedOn w:val="Normln"/>
    <w:uiPriority w:val="7"/>
    <w:rsid w:val="00FF7D35"/>
    <w:pPr>
      <w:spacing w:before="160" w:after="40" w:line="288" w:lineRule="auto"/>
      <w:ind w:left="2160" w:hanging="363"/>
      <w:jc w:val="left"/>
    </w:pPr>
    <w:rPr>
      <w:sz w:val="18"/>
      <w:szCs w:val="18"/>
    </w:rPr>
  </w:style>
  <w:style w:type="paragraph" w:styleId="slovanseznam">
    <w:name w:val="List Number"/>
    <w:basedOn w:val="Normln"/>
    <w:qFormat/>
    <w:rsid w:val="00FF7D35"/>
    <w:pPr>
      <w:spacing w:before="160" w:line="288" w:lineRule="auto"/>
      <w:ind w:left="720" w:hanging="363"/>
      <w:jc w:val="left"/>
    </w:pPr>
    <w:rPr>
      <w:sz w:val="18"/>
      <w:szCs w:val="18"/>
    </w:rPr>
  </w:style>
  <w:style w:type="paragraph" w:styleId="slovanseznam2">
    <w:name w:val="List Number 2"/>
    <w:basedOn w:val="Normln"/>
    <w:uiPriority w:val="7"/>
    <w:rsid w:val="00FF7D35"/>
    <w:pPr>
      <w:spacing w:before="160" w:after="60" w:line="288" w:lineRule="auto"/>
      <w:ind w:left="1440" w:hanging="363"/>
      <w:jc w:val="left"/>
    </w:pPr>
    <w:rPr>
      <w:sz w:val="18"/>
      <w:szCs w:val="18"/>
    </w:rPr>
  </w:style>
  <w:style w:type="paragraph" w:styleId="slovanseznam3">
    <w:name w:val="List Number 3"/>
    <w:basedOn w:val="Normln"/>
    <w:uiPriority w:val="7"/>
    <w:rsid w:val="00FF7D35"/>
    <w:pPr>
      <w:spacing w:before="160" w:after="40" w:line="288" w:lineRule="auto"/>
      <w:ind w:left="2160" w:hanging="363"/>
      <w:jc w:val="left"/>
    </w:pPr>
    <w:rPr>
      <w:sz w:val="18"/>
      <w:szCs w:val="18"/>
    </w:rPr>
  </w:style>
  <w:style w:type="paragraph" w:styleId="Zhlav">
    <w:name w:val="header"/>
    <w:basedOn w:val="Bezmezer"/>
    <w:link w:val="ZhlavChar"/>
    <w:uiPriority w:val="99"/>
    <w:rsid w:val="00FF7D35"/>
  </w:style>
  <w:style w:type="character" w:customStyle="1" w:styleId="ZhlavChar">
    <w:name w:val="Záhlaví Char"/>
    <w:basedOn w:val="Standardnpsmoodstavce"/>
    <w:link w:val="Zhlav"/>
    <w:uiPriority w:val="99"/>
    <w:rsid w:val="00FF7D35"/>
    <w:rPr>
      <w:sz w:val="18"/>
      <w:szCs w:val="18"/>
      <w:lang w:val="en-GB"/>
    </w:rPr>
  </w:style>
  <w:style w:type="paragraph" w:styleId="Bezmezer">
    <w:name w:val="No Spacing"/>
    <w:link w:val="BezmezerChar"/>
    <w:qFormat/>
    <w:rsid w:val="00FF7D35"/>
    <w:pPr>
      <w:spacing w:after="0" w:line="288" w:lineRule="auto"/>
    </w:pPr>
    <w:rPr>
      <w:sz w:val="18"/>
      <w:szCs w:val="18"/>
      <w:lang w:val="en-GB"/>
    </w:rPr>
  </w:style>
  <w:style w:type="character" w:customStyle="1" w:styleId="BezmezerChar">
    <w:name w:val="Bez mezer Char"/>
    <w:basedOn w:val="Standardnpsmoodstavce"/>
    <w:link w:val="Bezmezer"/>
    <w:rsid w:val="00FF7D35"/>
    <w:rPr>
      <w:sz w:val="18"/>
      <w:szCs w:val="18"/>
      <w:lang w:val="en-GB"/>
    </w:rPr>
  </w:style>
  <w:style w:type="paragraph" w:styleId="Zpat">
    <w:name w:val="footer"/>
    <w:basedOn w:val="Normln"/>
    <w:link w:val="ZpatChar"/>
    <w:uiPriority w:val="99"/>
    <w:rsid w:val="00FF7D35"/>
    <w:pPr>
      <w:tabs>
        <w:tab w:val="center" w:pos="3686"/>
        <w:tab w:val="right" w:pos="7936"/>
      </w:tabs>
      <w:spacing w:before="160" w:after="0" w:line="170" w:lineRule="exact"/>
      <w:jc w:val="left"/>
    </w:pPr>
    <w:rPr>
      <w:rFonts w:asciiTheme="majorHAnsi" w:hAnsiTheme="majorHAnsi"/>
      <w:sz w:val="13"/>
      <w:szCs w:val="18"/>
    </w:rPr>
  </w:style>
  <w:style w:type="character" w:customStyle="1" w:styleId="ZpatChar">
    <w:name w:val="Zápatí Char"/>
    <w:basedOn w:val="Standardnpsmoodstavce"/>
    <w:link w:val="Zpat"/>
    <w:uiPriority w:val="99"/>
    <w:rsid w:val="00FF7D35"/>
    <w:rPr>
      <w:rFonts w:asciiTheme="majorHAnsi" w:hAnsiTheme="majorHAnsi"/>
      <w:sz w:val="13"/>
      <w:szCs w:val="18"/>
    </w:rPr>
  </w:style>
  <w:style w:type="paragraph" w:customStyle="1" w:styleId="Subject">
    <w:name w:val="Subject"/>
    <w:basedOn w:val="Normln"/>
    <w:next w:val="Normln"/>
    <w:qFormat/>
    <w:rsid w:val="00FF7D35"/>
    <w:pPr>
      <w:spacing w:before="240" w:after="240"/>
      <w:jc w:val="left"/>
    </w:pPr>
    <w:rPr>
      <w:rFonts w:asciiTheme="majorHAnsi" w:eastAsia="Arial" w:hAnsiTheme="majorHAnsi" w:cs="Arial"/>
      <w:sz w:val="32"/>
      <w:szCs w:val="13"/>
      <w:lang w:eastAsia="sv-SE"/>
    </w:rPr>
  </w:style>
  <w:style w:type="character" w:styleId="slostrnky">
    <w:name w:val="page number"/>
    <w:basedOn w:val="Standardnpsmoodstavce"/>
    <w:unhideWhenUsed/>
    <w:rsid w:val="00FF7D35"/>
    <w:rPr>
      <w:rFonts w:asciiTheme="majorHAnsi" w:hAnsiTheme="majorHAnsi"/>
      <w:sz w:val="16"/>
    </w:rPr>
  </w:style>
  <w:style w:type="paragraph" w:customStyle="1" w:styleId="Title1">
    <w:name w:val="Title 1"/>
    <w:basedOn w:val="Nadpis1"/>
    <w:next w:val="Normln"/>
    <w:link w:val="Title1Char"/>
    <w:uiPriority w:val="9"/>
    <w:qFormat/>
    <w:rsid w:val="00FF7D35"/>
    <w:pPr>
      <w:numPr>
        <w:numId w:val="0"/>
      </w:numPr>
      <w:spacing w:after="80"/>
      <w:jc w:val="left"/>
    </w:pPr>
    <w:rPr>
      <w:sz w:val="28"/>
    </w:rPr>
  </w:style>
  <w:style w:type="character" w:customStyle="1" w:styleId="Title1Char">
    <w:name w:val="Title 1 Char"/>
    <w:basedOn w:val="Nadpis1Char"/>
    <w:link w:val="Title1"/>
    <w:uiPriority w:val="9"/>
    <w:rsid w:val="00FF7D35"/>
    <w:rPr>
      <w:rFonts w:asciiTheme="majorHAnsi" w:eastAsiaTheme="majorEastAsia" w:hAnsiTheme="majorHAnsi" w:cstheme="majorBidi"/>
      <w:b/>
      <w:sz w:val="28"/>
      <w:szCs w:val="32"/>
    </w:rPr>
  </w:style>
  <w:style w:type="paragraph" w:customStyle="1" w:styleId="Title2">
    <w:name w:val="Title 2"/>
    <w:basedOn w:val="Nadpis2"/>
    <w:next w:val="Normln"/>
    <w:link w:val="Title2Char"/>
    <w:uiPriority w:val="9"/>
    <w:qFormat/>
    <w:rsid w:val="00FF7D35"/>
    <w:pPr>
      <w:spacing w:before="240" w:after="80"/>
      <w:ind w:left="0" w:firstLine="0"/>
      <w:jc w:val="left"/>
    </w:pPr>
    <w:rPr>
      <w:sz w:val="24"/>
    </w:rPr>
  </w:style>
  <w:style w:type="character" w:customStyle="1" w:styleId="Title2Char">
    <w:name w:val="Title 2 Char"/>
    <w:basedOn w:val="Nadpis2Char"/>
    <w:link w:val="Title2"/>
    <w:uiPriority w:val="9"/>
    <w:rsid w:val="00FF7D35"/>
    <w:rPr>
      <w:rFonts w:asciiTheme="majorHAnsi" w:eastAsiaTheme="majorEastAsia" w:hAnsiTheme="majorHAnsi" w:cstheme="majorBidi"/>
      <w:b/>
      <w:sz w:val="24"/>
      <w:szCs w:val="26"/>
    </w:rPr>
  </w:style>
  <w:style w:type="paragraph" w:customStyle="1" w:styleId="Title3">
    <w:name w:val="Title 3"/>
    <w:basedOn w:val="Nadpis3"/>
    <w:next w:val="Normln"/>
    <w:link w:val="Title3Char"/>
    <w:uiPriority w:val="9"/>
    <w:qFormat/>
    <w:rsid w:val="00FF7D35"/>
    <w:pPr>
      <w:numPr>
        <w:ilvl w:val="0"/>
        <w:numId w:val="0"/>
      </w:numPr>
      <w:spacing w:before="240" w:after="80"/>
      <w:jc w:val="left"/>
    </w:pPr>
    <w:rPr>
      <w:sz w:val="20"/>
    </w:rPr>
  </w:style>
  <w:style w:type="character" w:customStyle="1" w:styleId="Title3Char">
    <w:name w:val="Title 3 Char"/>
    <w:basedOn w:val="Nadpis3Char"/>
    <w:link w:val="Title3"/>
    <w:uiPriority w:val="9"/>
    <w:rsid w:val="00FF7D35"/>
    <w:rPr>
      <w:rFonts w:asciiTheme="majorHAnsi" w:eastAsiaTheme="majorEastAsia" w:hAnsiTheme="majorHAnsi" w:cstheme="majorBidi"/>
      <w:b/>
      <w:sz w:val="20"/>
      <w:szCs w:val="24"/>
    </w:rPr>
  </w:style>
  <w:style w:type="paragraph" w:customStyle="1" w:styleId="DocumentName">
    <w:name w:val="DocumentName"/>
    <w:next w:val="Normln"/>
    <w:uiPriority w:val="8"/>
    <w:rsid w:val="00FF7D35"/>
    <w:pPr>
      <w:spacing w:after="0" w:line="288" w:lineRule="auto"/>
    </w:pPr>
    <w:rPr>
      <w:rFonts w:asciiTheme="majorHAnsi" w:hAnsiTheme="majorHAnsi"/>
      <w:caps/>
      <w:sz w:val="36"/>
      <w:szCs w:val="40"/>
      <w:lang w:val="en-GB"/>
    </w:rPr>
  </w:style>
  <w:style w:type="paragraph" w:styleId="Nadpisobsahu">
    <w:name w:val="TOC Heading"/>
    <w:basedOn w:val="Nadpis1"/>
    <w:next w:val="Normln"/>
    <w:uiPriority w:val="39"/>
    <w:unhideWhenUsed/>
    <w:qFormat/>
    <w:rsid w:val="00FF7D35"/>
    <w:pPr>
      <w:keepNext w:val="0"/>
      <w:keepLines w:val="0"/>
      <w:numPr>
        <w:numId w:val="0"/>
      </w:numPr>
      <w:spacing w:line="288" w:lineRule="auto"/>
      <w:jc w:val="left"/>
      <w:outlineLvl w:val="9"/>
    </w:pPr>
    <w:rPr>
      <w:sz w:val="24"/>
    </w:rPr>
  </w:style>
  <w:style w:type="paragraph" w:styleId="Obsah1">
    <w:name w:val="toc 1"/>
    <w:basedOn w:val="Normln"/>
    <w:next w:val="Normln"/>
    <w:autoRedefine/>
    <w:uiPriority w:val="39"/>
    <w:rsid w:val="00FF7D35"/>
    <w:pPr>
      <w:tabs>
        <w:tab w:val="right" w:leader="dot" w:pos="7938"/>
      </w:tabs>
      <w:spacing w:before="200" w:after="60" w:line="288" w:lineRule="auto"/>
      <w:jc w:val="left"/>
    </w:pPr>
    <w:rPr>
      <w:rFonts w:asciiTheme="majorHAnsi" w:hAnsiTheme="majorHAnsi"/>
      <w:sz w:val="18"/>
      <w:szCs w:val="18"/>
    </w:rPr>
  </w:style>
  <w:style w:type="paragraph" w:styleId="Obsah2">
    <w:name w:val="toc 2"/>
    <w:basedOn w:val="Normln"/>
    <w:next w:val="Normln"/>
    <w:autoRedefine/>
    <w:uiPriority w:val="39"/>
    <w:rsid w:val="00FF7D35"/>
    <w:pPr>
      <w:tabs>
        <w:tab w:val="right" w:leader="dot" w:pos="7938"/>
      </w:tabs>
      <w:spacing w:before="160" w:after="60" w:line="288" w:lineRule="auto"/>
      <w:ind w:left="221"/>
      <w:jc w:val="left"/>
    </w:pPr>
    <w:rPr>
      <w:rFonts w:asciiTheme="majorHAnsi" w:hAnsiTheme="majorHAnsi"/>
      <w:sz w:val="18"/>
      <w:szCs w:val="18"/>
    </w:rPr>
  </w:style>
  <w:style w:type="paragraph" w:styleId="Obsah3">
    <w:name w:val="toc 3"/>
    <w:basedOn w:val="Normln"/>
    <w:next w:val="Normln"/>
    <w:autoRedefine/>
    <w:uiPriority w:val="39"/>
    <w:rsid w:val="00FF7D35"/>
    <w:pPr>
      <w:tabs>
        <w:tab w:val="right" w:leader="dot" w:pos="7938"/>
      </w:tabs>
      <w:spacing w:before="160" w:after="60" w:line="288" w:lineRule="auto"/>
      <w:ind w:left="442"/>
      <w:jc w:val="left"/>
    </w:pPr>
    <w:rPr>
      <w:rFonts w:asciiTheme="majorHAnsi" w:hAnsiTheme="majorHAnsi"/>
      <w:sz w:val="18"/>
      <w:szCs w:val="18"/>
    </w:rPr>
  </w:style>
  <w:style w:type="paragraph" w:styleId="Textbubliny">
    <w:name w:val="Balloon Text"/>
    <w:basedOn w:val="Normln"/>
    <w:link w:val="TextbublinyChar"/>
    <w:unhideWhenUsed/>
    <w:rsid w:val="00FF7D35"/>
    <w:pPr>
      <w:spacing w:before="160" w:after="0"/>
      <w:jc w:val="left"/>
    </w:pPr>
    <w:rPr>
      <w:rFonts w:ascii="Segoe UI" w:hAnsi="Segoe UI" w:cs="Segoe UI"/>
      <w:sz w:val="18"/>
      <w:szCs w:val="18"/>
    </w:rPr>
  </w:style>
  <w:style w:type="character" w:customStyle="1" w:styleId="TextbublinyChar">
    <w:name w:val="Text bubliny Char"/>
    <w:basedOn w:val="Standardnpsmoodstavce"/>
    <w:link w:val="Textbubliny"/>
    <w:rsid w:val="00FF7D35"/>
    <w:rPr>
      <w:rFonts w:ascii="Segoe UI" w:hAnsi="Segoe UI" w:cs="Segoe UI"/>
      <w:sz w:val="18"/>
      <w:szCs w:val="18"/>
    </w:rPr>
  </w:style>
  <w:style w:type="paragraph" w:customStyle="1" w:styleId="Label">
    <w:name w:val="Label"/>
    <w:basedOn w:val="Normln"/>
    <w:next w:val="Normln"/>
    <w:uiPriority w:val="8"/>
    <w:rsid w:val="00FF7D35"/>
    <w:pPr>
      <w:spacing w:before="160" w:after="0" w:line="200" w:lineRule="atLeast"/>
      <w:jc w:val="left"/>
    </w:pPr>
    <w:rPr>
      <w:rFonts w:asciiTheme="majorHAnsi" w:eastAsia="Arial" w:hAnsiTheme="majorHAnsi" w:cs="Mangal"/>
      <w:sz w:val="12"/>
      <w:szCs w:val="18"/>
      <w:lang w:eastAsia="sv-SE"/>
    </w:rPr>
  </w:style>
  <w:style w:type="character" w:customStyle="1" w:styleId="VERSALER">
    <w:name w:val="VERSALER"/>
    <w:basedOn w:val="Standardnpsmoodstavce"/>
    <w:uiPriority w:val="99"/>
    <w:semiHidden/>
    <w:rsid w:val="00FF7D35"/>
    <w:rPr>
      <w:caps/>
    </w:rPr>
  </w:style>
  <w:style w:type="paragraph" w:styleId="Adresanaoblku">
    <w:name w:val="envelope address"/>
    <w:basedOn w:val="Normln"/>
    <w:uiPriority w:val="8"/>
    <w:rsid w:val="00FF7D35"/>
    <w:pPr>
      <w:spacing w:before="160" w:after="0" w:line="288" w:lineRule="auto"/>
      <w:jc w:val="left"/>
    </w:pPr>
    <w:rPr>
      <w:rFonts w:asciiTheme="majorHAnsi" w:hAnsiTheme="majorHAnsi"/>
      <w:sz w:val="18"/>
      <w:szCs w:val="18"/>
    </w:rPr>
  </w:style>
  <w:style w:type="paragraph" w:customStyle="1" w:styleId="FLetterpage1">
    <w:name w:val="ÅF Letter (page 1)"/>
    <w:semiHidden/>
    <w:rsid w:val="00FF7D35"/>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FF7D35"/>
    <w:rPr>
      <w:color w:val="0563C1" w:themeColor="hyperlink"/>
      <w:u w:val="single"/>
    </w:rPr>
  </w:style>
  <w:style w:type="paragraph" w:customStyle="1" w:styleId="Title4">
    <w:name w:val="Title 4"/>
    <w:basedOn w:val="Nadpis4"/>
    <w:next w:val="Normln"/>
    <w:uiPriority w:val="9"/>
    <w:qFormat/>
    <w:rsid w:val="00FF7D35"/>
    <w:pPr>
      <w:numPr>
        <w:ilvl w:val="0"/>
        <w:numId w:val="0"/>
      </w:numPr>
      <w:spacing w:before="240" w:after="80"/>
      <w:jc w:val="left"/>
    </w:pPr>
    <w:rPr>
      <w:b/>
      <w:i w:val="0"/>
      <w:sz w:val="18"/>
      <w:szCs w:val="18"/>
    </w:rPr>
  </w:style>
  <w:style w:type="paragraph" w:customStyle="1" w:styleId="Hidden">
    <w:name w:val="Hidden"/>
    <w:basedOn w:val="Normln"/>
    <w:uiPriority w:val="19"/>
    <w:rsid w:val="00FF7D35"/>
    <w:pPr>
      <w:spacing w:before="160" w:after="0" w:line="288" w:lineRule="auto"/>
      <w:jc w:val="left"/>
    </w:pPr>
    <w:rPr>
      <w:vanish/>
      <w:sz w:val="18"/>
      <w:szCs w:val="18"/>
    </w:rPr>
  </w:style>
  <w:style w:type="paragraph" w:styleId="Obsah4">
    <w:name w:val="toc 4"/>
    <w:basedOn w:val="Normln"/>
    <w:next w:val="Normln"/>
    <w:autoRedefine/>
    <w:uiPriority w:val="39"/>
    <w:rsid w:val="00FF7D35"/>
    <w:pPr>
      <w:tabs>
        <w:tab w:val="right" w:leader="dot" w:pos="7938"/>
      </w:tabs>
      <w:spacing w:before="160" w:after="60" w:line="288" w:lineRule="auto"/>
      <w:ind w:left="658"/>
      <w:jc w:val="left"/>
    </w:pPr>
    <w:rPr>
      <w:rFonts w:asciiTheme="majorHAnsi" w:hAnsiTheme="majorHAnsi"/>
      <w:sz w:val="18"/>
      <w:szCs w:val="18"/>
    </w:rPr>
  </w:style>
  <w:style w:type="paragraph" w:styleId="Obsah5">
    <w:name w:val="toc 5"/>
    <w:basedOn w:val="Normln"/>
    <w:next w:val="Normln"/>
    <w:autoRedefine/>
    <w:uiPriority w:val="39"/>
    <w:rsid w:val="00FF7D35"/>
    <w:pPr>
      <w:tabs>
        <w:tab w:val="right" w:leader="dot" w:pos="7938"/>
      </w:tabs>
      <w:spacing w:before="160" w:after="60" w:line="288" w:lineRule="auto"/>
      <w:ind w:left="879"/>
      <w:jc w:val="left"/>
    </w:pPr>
    <w:rPr>
      <w:rFonts w:asciiTheme="majorHAnsi" w:hAnsiTheme="majorHAnsi"/>
      <w:sz w:val="18"/>
      <w:szCs w:val="18"/>
    </w:rPr>
  </w:style>
  <w:style w:type="paragraph" w:styleId="Obsah6">
    <w:name w:val="toc 6"/>
    <w:basedOn w:val="Normln"/>
    <w:next w:val="Normln"/>
    <w:autoRedefine/>
    <w:semiHidden/>
    <w:rsid w:val="00FF7D35"/>
    <w:pPr>
      <w:tabs>
        <w:tab w:val="right" w:leader="dot" w:pos="7938"/>
      </w:tabs>
      <w:spacing w:before="160" w:after="60" w:line="288" w:lineRule="auto"/>
      <w:ind w:left="1100"/>
      <w:jc w:val="left"/>
    </w:pPr>
    <w:rPr>
      <w:rFonts w:asciiTheme="majorHAnsi" w:hAnsiTheme="majorHAnsi"/>
      <w:sz w:val="18"/>
      <w:szCs w:val="18"/>
    </w:rPr>
  </w:style>
  <w:style w:type="paragraph" w:styleId="Obsah7">
    <w:name w:val="toc 7"/>
    <w:basedOn w:val="Normln"/>
    <w:next w:val="Normln"/>
    <w:autoRedefine/>
    <w:semiHidden/>
    <w:rsid w:val="00FF7D35"/>
    <w:pPr>
      <w:tabs>
        <w:tab w:val="right" w:leader="dot" w:pos="7938"/>
      </w:tabs>
      <w:spacing w:before="160" w:after="60" w:line="288" w:lineRule="auto"/>
      <w:ind w:left="1321"/>
      <w:jc w:val="left"/>
    </w:pPr>
    <w:rPr>
      <w:rFonts w:asciiTheme="majorHAnsi" w:hAnsiTheme="majorHAnsi"/>
      <w:sz w:val="18"/>
      <w:szCs w:val="18"/>
    </w:rPr>
  </w:style>
  <w:style w:type="paragraph" w:styleId="Obsah8">
    <w:name w:val="toc 8"/>
    <w:basedOn w:val="Normln"/>
    <w:next w:val="Normln"/>
    <w:autoRedefine/>
    <w:semiHidden/>
    <w:rsid w:val="00FF7D35"/>
    <w:pPr>
      <w:tabs>
        <w:tab w:val="right" w:leader="dot" w:pos="7938"/>
      </w:tabs>
      <w:spacing w:before="160" w:after="60" w:line="288" w:lineRule="auto"/>
      <w:ind w:left="1542"/>
      <w:jc w:val="left"/>
    </w:pPr>
    <w:rPr>
      <w:rFonts w:asciiTheme="majorHAnsi" w:hAnsiTheme="majorHAnsi"/>
      <w:sz w:val="18"/>
      <w:szCs w:val="18"/>
    </w:rPr>
  </w:style>
  <w:style w:type="paragraph" w:styleId="Obsah9">
    <w:name w:val="toc 9"/>
    <w:basedOn w:val="Normln"/>
    <w:next w:val="Normln"/>
    <w:autoRedefine/>
    <w:semiHidden/>
    <w:rsid w:val="00FF7D35"/>
    <w:pPr>
      <w:tabs>
        <w:tab w:val="right" w:leader="dot" w:pos="7938"/>
      </w:tabs>
      <w:spacing w:before="160" w:after="60" w:line="288" w:lineRule="auto"/>
      <w:ind w:left="1758"/>
      <w:jc w:val="left"/>
    </w:pPr>
    <w:rPr>
      <w:rFonts w:asciiTheme="majorHAnsi" w:hAnsiTheme="majorHAnsi"/>
      <w:sz w:val="18"/>
      <w:szCs w:val="18"/>
    </w:rPr>
  </w:style>
  <w:style w:type="character" w:styleId="Zstupntext">
    <w:name w:val="Placeholder Text"/>
    <w:basedOn w:val="Standardnpsmoodstavce"/>
    <w:uiPriority w:val="99"/>
    <w:rsid w:val="00FF7D35"/>
    <w:rPr>
      <w:color w:val="auto"/>
    </w:rPr>
  </w:style>
  <w:style w:type="table" w:customStyle="1" w:styleId="TableGridLight1">
    <w:name w:val="Table Grid Light1"/>
    <w:basedOn w:val="Normlntabulka"/>
    <w:uiPriority w:val="40"/>
    <w:rsid w:val="00FF7D35"/>
    <w:pPr>
      <w:spacing w:after="0" w:line="240" w:lineRule="auto"/>
    </w:pPr>
    <w:rPr>
      <w:sz w:val="18"/>
      <w:szCs w:val="18"/>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FF7D35"/>
    <w:pPr>
      <w:spacing w:before="40" w:after="40" w:line="288" w:lineRule="auto"/>
    </w:pPr>
    <w:rPr>
      <w:sz w:val="18"/>
      <w:szCs w:val="18"/>
      <w:lang w:val="en-GB"/>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style>
  <w:style w:type="paragraph" w:customStyle="1" w:styleId="TOCEnclosures">
    <w:name w:val="TOC Enclosures"/>
    <w:basedOn w:val="Bezmezer"/>
    <w:uiPriority w:val="39"/>
    <w:rsid w:val="00FF7D35"/>
    <w:pPr>
      <w:tabs>
        <w:tab w:val="right" w:leader="dot" w:pos="7938"/>
      </w:tabs>
      <w:spacing w:after="60"/>
    </w:pPr>
    <w:rPr>
      <w:rFonts w:asciiTheme="majorHAnsi" w:hAnsiTheme="majorHAnsi"/>
    </w:rPr>
  </w:style>
  <w:style w:type="paragraph" w:customStyle="1" w:styleId="Tableheading">
    <w:name w:val="Table heading"/>
    <w:basedOn w:val="Normln"/>
    <w:uiPriority w:val="19"/>
    <w:qFormat/>
    <w:rsid w:val="00FF7D35"/>
    <w:pPr>
      <w:spacing w:before="40" w:after="40" w:line="288" w:lineRule="auto"/>
      <w:jc w:val="left"/>
    </w:pPr>
    <w:rPr>
      <w:rFonts w:asciiTheme="majorHAnsi" w:hAnsiTheme="majorHAnsi"/>
      <w:sz w:val="18"/>
      <w:szCs w:val="18"/>
    </w:rPr>
  </w:style>
  <w:style w:type="paragraph" w:customStyle="1" w:styleId="Zkladn">
    <w:name w:val="Základní"/>
    <w:basedOn w:val="Normln"/>
    <w:rsid w:val="00FF7D35"/>
    <w:pPr>
      <w:spacing w:before="160" w:after="0"/>
      <w:jc w:val="left"/>
    </w:pPr>
    <w:rPr>
      <w:rFonts w:ascii="Times New Roman" w:eastAsia="Times New Roman" w:hAnsi="Times New Roman" w:cs="Times New Roman"/>
      <w:kern w:val="20"/>
      <w:szCs w:val="20"/>
      <w:lang w:val="en-US" w:eastAsia="cs-CZ"/>
    </w:rPr>
  </w:style>
  <w:style w:type="paragraph" w:customStyle="1" w:styleId="FooterAddress">
    <w:name w:val="FooterAddress"/>
    <w:link w:val="FooterAddressChar"/>
    <w:uiPriority w:val="11"/>
    <w:rsid w:val="00FF7D35"/>
    <w:pPr>
      <w:spacing w:after="0" w:line="170" w:lineRule="exact"/>
      <w:ind w:right="-1134"/>
    </w:pPr>
    <w:rPr>
      <w:rFonts w:eastAsia="Arial" w:cs="Mangal"/>
      <w:sz w:val="13"/>
      <w:szCs w:val="18"/>
      <w:lang w:val="en-US" w:eastAsia="sv-SE"/>
    </w:rPr>
  </w:style>
  <w:style w:type="character" w:customStyle="1" w:styleId="FooterAddressChar">
    <w:name w:val="FooterAddress Char"/>
    <w:basedOn w:val="Standardnpsmoodstavce"/>
    <w:link w:val="FooterAddress"/>
    <w:uiPriority w:val="11"/>
    <w:rsid w:val="00FF7D35"/>
    <w:rPr>
      <w:rFonts w:eastAsia="Arial" w:cs="Mangal"/>
      <w:sz w:val="13"/>
      <w:szCs w:val="18"/>
      <w:lang w:val="en-US" w:eastAsia="sv-SE"/>
    </w:rPr>
  </w:style>
  <w:style w:type="paragraph" w:customStyle="1" w:styleId="tabulkavlevo">
    <w:name w:val="tabulka vlevo"/>
    <w:basedOn w:val="Normln"/>
    <w:rsid w:val="00FF7D35"/>
    <w:pPr>
      <w:spacing w:before="120" w:after="0" w:line="312" w:lineRule="auto"/>
    </w:pPr>
    <w:rPr>
      <w:rFonts w:ascii="Arial" w:eastAsia="Times New Roman" w:hAnsi="Arial" w:cs="Times New Roman"/>
      <w:szCs w:val="20"/>
      <w:lang w:eastAsia="cs-CZ"/>
    </w:rPr>
  </w:style>
  <w:style w:type="paragraph" w:customStyle="1" w:styleId="odrka1">
    <w:name w:val="odrážka 1"/>
    <w:basedOn w:val="Bezmezer"/>
    <w:link w:val="odrka1Char"/>
    <w:qFormat/>
    <w:rsid w:val="00FF7D35"/>
    <w:pPr>
      <w:ind w:left="851" w:hanging="284"/>
    </w:pPr>
  </w:style>
  <w:style w:type="character" w:customStyle="1" w:styleId="odrka1Char">
    <w:name w:val="odrážka 1 Char"/>
    <w:basedOn w:val="BezmezerChar"/>
    <w:link w:val="odrka1"/>
    <w:rsid w:val="00FF7D35"/>
    <w:rPr>
      <w:sz w:val="18"/>
      <w:szCs w:val="18"/>
      <w:lang w:val="en-GB"/>
    </w:rPr>
  </w:style>
  <w:style w:type="paragraph" w:customStyle="1" w:styleId="odrka2">
    <w:name w:val="odrážka 2"/>
    <w:basedOn w:val="Bezmezer"/>
    <w:qFormat/>
    <w:rsid w:val="00FF7D35"/>
    <w:pPr>
      <w:ind w:left="1843" w:hanging="567"/>
    </w:pPr>
    <w:rPr>
      <w:lang w:val="cs-CZ"/>
    </w:rPr>
  </w:style>
  <w:style w:type="paragraph" w:customStyle="1" w:styleId="Nzevobrzku">
    <w:name w:val="Název obrázku"/>
    <w:basedOn w:val="Normln"/>
    <w:next w:val="Normln"/>
    <w:rsid w:val="00FF7D35"/>
    <w:pPr>
      <w:keepLines/>
      <w:tabs>
        <w:tab w:val="left" w:pos="851"/>
        <w:tab w:val="num" w:pos="2220"/>
      </w:tabs>
      <w:spacing w:before="80" w:line="264" w:lineRule="auto"/>
      <w:ind w:left="2220" w:hanging="802"/>
      <w:jc w:val="center"/>
    </w:pPr>
    <w:rPr>
      <w:rFonts w:ascii="Arial" w:eastAsia="Times New Roman" w:hAnsi="Arial" w:cs="Times New Roman"/>
      <w:i/>
      <w:lang w:eastAsia="cs-CZ"/>
    </w:rPr>
  </w:style>
  <w:style w:type="paragraph" w:styleId="Normlnweb">
    <w:name w:val="Normal (Web)"/>
    <w:basedOn w:val="Normln"/>
    <w:uiPriority w:val="99"/>
    <w:unhideWhenUsed/>
    <w:rsid w:val="00FF7D35"/>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adpisChar">
    <w:name w:val="Nadpis Char"/>
    <w:basedOn w:val="Standardnpsmoodstavce"/>
    <w:link w:val="Nadpis"/>
    <w:rsid w:val="00FF7D35"/>
    <w:rPr>
      <w:rFonts w:ascii="Calibri" w:hAnsi="Calibri"/>
      <w:b/>
      <w:caps/>
      <w:color w:val="000000"/>
      <w:sz w:val="36"/>
      <w:lang w:eastAsia="cs-CZ"/>
    </w:rPr>
  </w:style>
  <w:style w:type="paragraph" w:customStyle="1" w:styleId="Nadpis">
    <w:name w:val="Nadpis"/>
    <w:next w:val="Normln"/>
    <w:link w:val="NadpisChar"/>
    <w:rsid w:val="00FF7D35"/>
    <w:pPr>
      <w:keepNext/>
      <w:pageBreakBefore/>
      <w:tabs>
        <w:tab w:val="left" w:pos="454"/>
      </w:tabs>
      <w:spacing w:before="480" w:after="60" w:line="400" w:lineRule="exact"/>
    </w:pPr>
    <w:rPr>
      <w:rFonts w:ascii="Calibri" w:hAnsi="Calibri"/>
      <w:b/>
      <w:caps/>
      <w:color w:val="000000"/>
      <w:sz w:val="36"/>
      <w:lang w:eastAsia="cs-CZ"/>
    </w:rPr>
  </w:style>
  <w:style w:type="paragraph" w:customStyle="1" w:styleId="odraz">
    <w:name w:val="odraz"/>
    <w:rsid w:val="00FF7D35"/>
    <w:pPr>
      <w:widowControl w:val="0"/>
      <w:numPr>
        <w:numId w:val="14"/>
      </w:numPr>
      <w:tabs>
        <w:tab w:val="left" w:pos="851"/>
      </w:tabs>
      <w:spacing w:before="120" w:after="0" w:line="312" w:lineRule="auto"/>
      <w:ind w:left="851" w:hanging="284"/>
      <w:jc w:val="both"/>
    </w:pPr>
    <w:rPr>
      <w:rFonts w:ascii="Calibri" w:eastAsia="Times New Roman" w:hAnsi="Calibri" w:cs="Times New Roman"/>
      <w:snapToGrid w:val="0"/>
      <w:szCs w:val="20"/>
      <w:lang w:eastAsia="cs-CZ"/>
    </w:rPr>
  </w:style>
  <w:style w:type="paragraph" w:customStyle="1" w:styleId="odraz1">
    <w:name w:val="odraz1"/>
    <w:rsid w:val="00FF7D35"/>
    <w:pPr>
      <w:numPr>
        <w:numId w:val="15"/>
      </w:numPr>
      <w:spacing w:before="120" w:after="0" w:line="312" w:lineRule="auto"/>
      <w:ind w:left="1208" w:hanging="357"/>
      <w:jc w:val="both"/>
    </w:pPr>
    <w:rPr>
      <w:rFonts w:ascii="Calibri" w:eastAsia="Times New Roman" w:hAnsi="Calibri" w:cs="Times New Roman"/>
      <w:szCs w:val="20"/>
      <w:lang w:eastAsia="cs-CZ"/>
    </w:rPr>
  </w:style>
  <w:style w:type="paragraph" w:customStyle="1" w:styleId="odraz2">
    <w:name w:val="odraz2"/>
    <w:rsid w:val="00FF7D35"/>
    <w:pPr>
      <w:numPr>
        <w:numId w:val="16"/>
      </w:numPr>
      <w:spacing w:before="120" w:after="0" w:line="264" w:lineRule="auto"/>
      <w:jc w:val="both"/>
    </w:pPr>
    <w:rPr>
      <w:rFonts w:ascii="Calibri" w:eastAsia="Times New Roman" w:hAnsi="Calibri" w:cs="Times New Roman"/>
      <w:noProof/>
      <w:sz w:val="20"/>
      <w:szCs w:val="20"/>
      <w:lang w:eastAsia="cs-CZ"/>
    </w:rPr>
  </w:style>
  <w:style w:type="paragraph" w:customStyle="1" w:styleId="patika">
    <w:name w:val="patička"/>
    <w:autoRedefine/>
    <w:rsid w:val="00FF7D35"/>
    <w:pPr>
      <w:spacing w:after="0" w:line="240" w:lineRule="auto"/>
    </w:pPr>
    <w:rPr>
      <w:rFonts w:ascii="Arial" w:eastAsia="Times New Roman" w:hAnsi="Arial" w:cs="Times New Roman"/>
      <w:noProof/>
      <w:sz w:val="16"/>
      <w:szCs w:val="20"/>
      <w:lang w:eastAsia="cs-CZ"/>
    </w:rPr>
  </w:style>
  <w:style w:type="paragraph" w:customStyle="1" w:styleId="Nzevstudie">
    <w:name w:val="Název studie"/>
    <w:basedOn w:val="Normln"/>
    <w:rsid w:val="00FF7D35"/>
    <w:pPr>
      <w:spacing w:before="240" w:after="0" w:line="312" w:lineRule="auto"/>
      <w:ind w:firstLine="284"/>
      <w:jc w:val="center"/>
    </w:pPr>
    <w:rPr>
      <w:rFonts w:ascii="Calibri" w:eastAsia="Times New Roman" w:hAnsi="Calibri" w:cs="Times New Roman"/>
      <w:sz w:val="40"/>
      <w:szCs w:val="20"/>
      <w:lang w:eastAsia="cs-CZ"/>
    </w:rPr>
  </w:style>
  <w:style w:type="paragraph" w:customStyle="1" w:styleId="Titulektabulek">
    <w:name w:val="Titulek tabulek"/>
    <w:aliases w:val="obrázků,grafů"/>
    <w:basedOn w:val="Titulek"/>
    <w:link w:val="TitulektabulekChar"/>
    <w:rsid w:val="00FF7D35"/>
    <w:pPr>
      <w:keepNext/>
      <w:spacing w:before="240" w:after="0" w:line="312" w:lineRule="auto"/>
      <w:ind w:firstLine="284"/>
    </w:pPr>
    <w:rPr>
      <w:rFonts w:ascii="Calibri" w:eastAsia="Times New Roman" w:hAnsi="Calibri" w:cs="Times New Roman"/>
      <w:iCs w:val="0"/>
      <w:szCs w:val="20"/>
      <w:lang w:eastAsia="cs-CZ"/>
    </w:rPr>
  </w:style>
  <w:style w:type="character" w:customStyle="1" w:styleId="TitulektabulekChar">
    <w:name w:val="Titulek tabulek Char"/>
    <w:aliases w:val="obrázků Char,grafů Char"/>
    <w:basedOn w:val="TitulekChar"/>
    <w:link w:val="Titulektabulek"/>
    <w:rsid w:val="00FF7D35"/>
    <w:rPr>
      <w:rFonts w:ascii="Calibri" w:eastAsia="Times New Roman" w:hAnsi="Calibri" w:cs="Times New Roman"/>
      <w:i/>
      <w:iCs w:val="0"/>
      <w:sz w:val="18"/>
      <w:szCs w:val="20"/>
      <w:lang w:eastAsia="cs-CZ"/>
    </w:rPr>
  </w:style>
  <w:style w:type="paragraph" w:customStyle="1" w:styleId="tabulka">
    <w:name w:val="tabulka"/>
    <w:rsid w:val="00FF7D35"/>
    <w:pPr>
      <w:spacing w:before="20" w:after="20" w:line="240" w:lineRule="exact"/>
    </w:pPr>
    <w:rPr>
      <w:rFonts w:ascii="Calibri" w:eastAsia="Times New Roman" w:hAnsi="Calibri" w:cs="Times New Roman"/>
      <w:noProof/>
      <w:szCs w:val="20"/>
      <w:lang w:eastAsia="cs-CZ"/>
    </w:rPr>
  </w:style>
  <w:style w:type="paragraph" w:customStyle="1" w:styleId="Znaka1">
    <w:name w:val="Značka 1"/>
    <w:rsid w:val="00FF7D35"/>
    <w:pPr>
      <w:widowControl w:val="0"/>
      <w:numPr>
        <w:numId w:val="17"/>
      </w:numPr>
      <w:spacing w:before="120" w:after="0" w:line="240" w:lineRule="auto"/>
      <w:jc w:val="both"/>
    </w:pPr>
    <w:rPr>
      <w:rFonts w:ascii="Calibri" w:eastAsia="Times New Roman" w:hAnsi="Calibri" w:cs="Times New Roman"/>
      <w:snapToGrid w:val="0"/>
      <w:color w:val="000000"/>
      <w:sz w:val="20"/>
      <w:szCs w:val="20"/>
      <w:lang w:eastAsia="cs-CZ"/>
    </w:rPr>
  </w:style>
  <w:style w:type="paragraph" w:customStyle="1" w:styleId="Znaka2">
    <w:name w:val="Značka 2"/>
    <w:rsid w:val="00FF7D35"/>
    <w:pPr>
      <w:widowControl w:val="0"/>
      <w:numPr>
        <w:numId w:val="18"/>
      </w:numPr>
      <w:spacing w:after="0" w:line="240" w:lineRule="auto"/>
      <w:jc w:val="both"/>
    </w:pPr>
    <w:rPr>
      <w:rFonts w:ascii="Calibri" w:eastAsia="Times New Roman" w:hAnsi="Calibri" w:cs="Times New Roman"/>
      <w:snapToGrid w:val="0"/>
      <w:color w:val="000000"/>
      <w:sz w:val="20"/>
      <w:szCs w:val="20"/>
      <w:lang w:eastAsia="cs-CZ"/>
    </w:rPr>
  </w:style>
  <w:style w:type="paragraph" w:customStyle="1" w:styleId="Rozvrendokumentu">
    <w:name w:val="Rozvržení dokumentu"/>
    <w:basedOn w:val="Normln"/>
    <w:semiHidden/>
    <w:rsid w:val="00FF7D35"/>
    <w:pPr>
      <w:shd w:val="clear" w:color="auto" w:fill="000080"/>
      <w:spacing w:before="240" w:after="0" w:line="312" w:lineRule="auto"/>
      <w:ind w:firstLine="284"/>
    </w:pPr>
    <w:rPr>
      <w:rFonts w:ascii="Tahoma" w:eastAsia="Times New Roman" w:hAnsi="Tahoma" w:cs="Times New Roman"/>
      <w:szCs w:val="20"/>
      <w:lang w:eastAsia="cs-CZ"/>
    </w:rPr>
  </w:style>
  <w:style w:type="character" w:styleId="Sledovanodkaz">
    <w:name w:val="FollowedHyperlink"/>
    <w:basedOn w:val="Standardnpsmoodstavce"/>
    <w:uiPriority w:val="99"/>
    <w:rsid w:val="00FF7D35"/>
    <w:rPr>
      <w:color w:val="0000FF"/>
      <w:u w:val="single"/>
    </w:rPr>
  </w:style>
  <w:style w:type="paragraph" w:styleId="Textvysvtlivek">
    <w:name w:val="endnote text"/>
    <w:basedOn w:val="Normln"/>
    <w:link w:val="TextvysvtlivekChar"/>
    <w:semiHidden/>
    <w:rsid w:val="00FF7D35"/>
    <w:pPr>
      <w:spacing w:before="160" w:after="0"/>
      <w:jc w:val="left"/>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semiHidden/>
    <w:rsid w:val="00FF7D35"/>
    <w:rPr>
      <w:rFonts w:ascii="Times New Roman" w:eastAsia="Times New Roman" w:hAnsi="Times New Roman" w:cs="Times New Roman"/>
      <w:sz w:val="20"/>
      <w:szCs w:val="20"/>
      <w:lang w:eastAsia="cs-CZ"/>
    </w:rPr>
  </w:style>
  <w:style w:type="paragraph" w:styleId="Seznamobrzk">
    <w:name w:val="table of figures"/>
    <w:basedOn w:val="Normln"/>
    <w:next w:val="Normln"/>
    <w:uiPriority w:val="99"/>
    <w:rsid w:val="00FF7D35"/>
    <w:pPr>
      <w:spacing w:before="120" w:after="0" w:line="288" w:lineRule="auto"/>
    </w:pPr>
    <w:rPr>
      <w:rFonts w:ascii="Verdana" w:eastAsia="Times New Roman" w:hAnsi="Verdana" w:cs="Times New Roman"/>
      <w:sz w:val="18"/>
      <w:szCs w:val="20"/>
      <w:lang w:eastAsia="cs-CZ"/>
    </w:rPr>
  </w:style>
  <w:style w:type="paragraph" w:customStyle="1" w:styleId="Default">
    <w:name w:val="Default"/>
    <w:rsid w:val="00FF7D3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Nzevtabulky">
    <w:name w:val="Název tabulky"/>
    <w:basedOn w:val="Normln"/>
    <w:next w:val="Normln"/>
    <w:rsid w:val="00FF7D35"/>
    <w:pPr>
      <w:keepLines/>
      <w:numPr>
        <w:numId w:val="19"/>
      </w:numPr>
      <w:tabs>
        <w:tab w:val="left" w:pos="851"/>
      </w:tabs>
      <w:spacing w:before="80" w:line="264" w:lineRule="auto"/>
      <w:jc w:val="center"/>
    </w:pPr>
    <w:rPr>
      <w:rFonts w:ascii="Arial" w:eastAsia="Times New Roman" w:hAnsi="Arial" w:cs="Times New Roman"/>
      <w:i/>
      <w:lang w:eastAsia="cs-CZ"/>
    </w:rPr>
  </w:style>
  <w:style w:type="paragraph" w:styleId="Podtitul">
    <w:name w:val="Subtitle"/>
    <w:basedOn w:val="Normln"/>
    <w:next w:val="Normln"/>
    <w:link w:val="PodtitulChar"/>
    <w:rsid w:val="00FF7D35"/>
    <w:pPr>
      <w:numPr>
        <w:ilvl w:val="1"/>
      </w:numPr>
      <w:spacing w:before="240" w:after="0" w:line="312" w:lineRule="auto"/>
      <w:ind w:firstLine="284"/>
    </w:pPr>
    <w:rPr>
      <w:rFonts w:asciiTheme="majorHAnsi" w:eastAsiaTheme="majorEastAsia" w:hAnsiTheme="majorHAnsi" w:cstheme="majorBidi"/>
      <w:i/>
      <w:iCs/>
      <w:color w:val="5B9BD5" w:themeColor="accent1"/>
      <w:spacing w:val="15"/>
      <w:sz w:val="24"/>
      <w:szCs w:val="24"/>
      <w:lang w:eastAsia="cs-CZ"/>
    </w:rPr>
  </w:style>
  <w:style w:type="character" w:customStyle="1" w:styleId="PodtitulChar">
    <w:name w:val="Podtitul Char"/>
    <w:basedOn w:val="Standardnpsmoodstavce"/>
    <w:link w:val="Podtitul"/>
    <w:rsid w:val="00FF7D35"/>
    <w:rPr>
      <w:rFonts w:asciiTheme="majorHAnsi" w:eastAsiaTheme="majorEastAsia" w:hAnsiTheme="majorHAnsi" w:cstheme="majorBidi"/>
      <w:i/>
      <w:iCs/>
      <w:color w:val="5B9BD5" w:themeColor="accent1"/>
      <w:spacing w:val="15"/>
      <w:sz w:val="24"/>
      <w:szCs w:val="24"/>
      <w:lang w:eastAsia="cs-CZ"/>
    </w:rPr>
  </w:style>
  <w:style w:type="paragraph" w:customStyle="1" w:styleId="odsazen">
    <w:name w:val="odsazení"/>
    <w:basedOn w:val="Normln"/>
    <w:link w:val="odsazenChar"/>
    <w:qFormat/>
    <w:rsid w:val="00FF7D35"/>
    <w:pPr>
      <w:numPr>
        <w:ilvl w:val="1"/>
        <w:numId w:val="20"/>
      </w:numPr>
      <w:spacing w:before="120" w:after="0" w:line="312" w:lineRule="auto"/>
      <w:ind w:left="2217" w:hanging="357"/>
    </w:pPr>
    <w:rPr>
      <w:rFonts w:eastAsia="Times New Roman" w:cs="Times New Roman"/>
      <w:szCs w:val="20"/>
      <w:lang w:eastAsia="cs-CZ"/>
    </w:rPr>
  </w:style>
  <w:style w:type="character" w:customStyle="1" w:styleId="odsazenChar">
    <w:name w:val="odsazení Char"/>
    <w:basedOn w:val="Standardnpsmoodstavce"/>
    <w:link w:val="odsazen"/>
    <w:rsid w:val="00FF7D35"/>
    <w:rPr>
      <w:rFonts w:eastAsia="Times New Roman" w:cs="Times New Roman"/>
      <w:szCs w:val="20"/>
      <w:lang w:eastAsia="cs-CZ"/>
    </w:rPr>
  </w:style>
  <w:style w:type="paragraph" w:customStyle="1" w:styleId="Style1">
    <w:name w:val="Style1"/>
    <w:basedOn w:val="Normln"/>
    <w:uiPriority w:val="99"/>
    <w:rsid w:val="00FF7D35"/>
    <w:pPr>
      <w:widowControl w:val="0"/>
      <w:autoSpaceDE w:val="0"/>
      <w:autoSpaceDN w:val="0"/>
      <w:adjustRightInd w:val="0"/>
      <w:spacing w:before="160" w:after="0" w:line="317" w:lineRule="exact"/>
    </w:pPr>
    <w:rPr>
      <w:rFonts w:ascii="Times New Roman" w:eastAsiaTheme="minorEastAsia" w:hAnsi="Times New Roman" w:cs="Times New Roman"/>
      <w:sz w:val="24"/>
      <w:szCs w:val="24"/>
      <w:lang w:eastAsia="cs-CZ"/>
    </w:rPr>
  </w:style>
  <w:style w:type="paragraph" w:customStyle="1" w:styleId="Style4">
    <w:name w:val="Style4"/>
    <w:basedOn w:val="Normln"/>
    <w:uiPriority w:val="99"/>
    <w:rsid w:val="00FF7D35"/>
    <w:pPr>
      <w:widowControl w:val="0"/>
      <w:autoSpaceDE w:val="0"/>
      <w:autoSpaceDN w:val="0"/>
      <w:adjustRightInd w:val="0"/>
      <w:spacing w:before="160" w:after="0" w:line="319" w:lineRule="exact"/>
      <w:jc w:val="left"/>
    </w:pPr>
    <w:rPr>
      <w:rFonts w:ascii="Times New Roman" w:eastAsiaTheme="minorEastAsia" w:hAnsi="Times New Roman" w:cs="Times New Roman"/>
      <w:sz w:val="24"/>
      <w:szCs w:val="24"/>
      <w:lang w:eastAsia="cs-CZ"/>
    </w:rPr>
  </w:style>
  <w:style w:type="character" w:customStyle="1" w:styleId="FontStyle26">
    <w:name w:val="Font Style26"/>
    <w:basedOn w:val="Standardnpsmoodstavce"/>
    <w:uiPriority w:val="99"/>
    <w:rsid w:val="00FF7D35"/>
    <w:rPr>
      <w:rFonts w:ascii="Times New Roman" w:hAnsi="Times New Roman" w:cs="Times New Roman"/>
      <w:i/>
      <w:iCs/>
      <w:color w:val="000000"/>
      <w:sz w:val="24"/>
      <w:szCs w:val="24"/>
    </w:rPr>
  </w:style>
  <w:style w:type="character" w:customStyle="1" w:styleId="FontStyle30">
    <w:name w:val="Font Style30"/>
    <w:basedOn w:val="Standardnpsmoodstavce"/>
    <w:uiPriority w:val="99"/>
    <w:rsid w:val="00FF7D35"/>
    <w:rPr>
      <w:rFonts w:ascii="Times New Roman" w:hAnsi="Times New Roman" w:cs="Times New Roman"/>
      <w:b/>
      <w:bCs/>
      <w:color w:val="000000"/>
      <w:sz w:val="22"/>
      <w:szCs w:val="22"/>
    </w:rPr>
  </w:style>
  <w:style w:type="character" w:customStyle="1" w:styleId="FontStyle31">
    <w:name w:val="Font Style31"/>
    <w:basedOn w:val="Standardnpsmoodstavce"/>
    <w:uiPriority w:val="99"/>
    <w:rsid w:val="00FF7D35"/>
    <w:rPr>
      <w:rFonts w:ascii="Times New Roman" w:hAnsi="Times New Roman" w:cs="Times New Roman"/>
      <w:color w:val="000000"/>
      <w:sz w:val="22"/>
      <w:szCs w:val="22"/>
    </w:rPr>
  </w:style>
  <w:style w:type="paragraph" w:customStyle="1" w:styleId="Style3">
    <w:name w:val="Style3"/>
    <w:basedOn w:val="Normln"/>
    <w:uiPriority w:val="99"/>
    <w:rsid w:val="00FF7D35"/>
    <w:pPr>
      <w:widowControl w:val="0"/>
      <w:autoSpaceDE w:val="0"/>
      <w:autoSpaceDN w:val="0"/>
      <w:adjustRightInd w:val="0"/>
      <w:spacing w:before="160" w:after="0" w:line="276" w:lineRule="exact"/>
    </w:pPr>
    <w:rPr>
      <w:rFonts w:ascii="Times New Roman" w:eastAsiaTheme="minorEastAsia" w:hAnsi="Times New Roman" w:cs="Times New Roman"/>
      <w:sz w:val="24"/>
      <w:szCs w:val="24"/>
      <w:lang w:eastAsia="cs-CZ"/>
    </w:rPr>
  </w:style>
  <w:style w:type="paragraph" w:customStyle="1" w:styleId="seznamobrzk0">
    <w:name w:val="seznam obrázků"/>
    <w:basedOn w:val="Normln"/>
    <w:link w:val="seznamobrzkChar"/>
    <w:qFormat/>
    <w:rsid w:val="00FF7D35"/>
    <w:pPr>
      <w:tabs>
        <w:tab w:val="right" w:leader="dot" w:pos="9628"/>
      </w:tabs>
      <w:spacing w:before="240" w:after="0"/>
      <w:ind w:left="510"/>
    </w:pPr>
    <w:rPr>
      <w:rFonts w:ascii="Century Gothic" w:eastAsia="Times New Roman" w:hAnsi="Century Gothic" w:cs="Arial"/>
      <w:noProof/>
      <w:lang w:eastAsia="cs-CZ"/>
    </w:rPr>
  </w:style>
  <w:style w:type="character" w:customStyle="1" w:styleId="seznamobrzkChar">
    <w:name w:val="seznam obrázků Char"/>
    <w:basedOn w:val="Standardnpsmoodstavce"/>
    <w:link w:val="seznamobrzk0"/>
    <w:rsid w:val="00FF7D35"/>
    <w:rPr>
      <w:rFonts w:ascii="Century Gothic" w:eastAsia="Times New Roman" w:hAnsi="Century Gothic" w:cs="Arial"/>
      <w:noProof/>
      <w:lang w:eastAsia="cs-CZ"/>
    </w:rPr>
  </w:style>
  <w:style w:type="character" w:styleId="Zdraznn">
    <w:name w:val="Emphasis"/>
    <w:basedOn w:val="Standardnpsmoodstavce"/>
    <w:uiPriority w:val="20"/>
    <w:qFormat/>
    <w:rsid w:val="00FF7D35"/>
    <w:rPr>
      <w:i/>
      <w:iCs/>
    </w:rPr>
  </w:style>
  <w:style w:type="paragraph" w:customStyle="1" w:styleId="Odstavecseseznamem1">
    <w:name w:val="Odstavec se seznamem1"/>
    <w:basedOn w:val="Normln"/>
    <w:uiPriority w:val="99"/>
    <w:qFormat/>
    <w:rsid w:val="00FF7D35"/>
    <w:pPr>
      <w:spacing w:before="160" w:after="200" w:line="276" w:lineRule="auto"/>
      <w:ind w:left="708"/>
      <w:jc w:val="left"/>
    </w:pPr>
    <w:rPr>
      <w:rFonts w:ascii="Calibri" w:eastAsia="Times New Roman" w:hAnsi="Calibri" w:cs="Times New Roman"/>
      <w:lang w:eastAsia="cs-CZ"/>
    </w:rPr>
  </w:style>
  <w:style w:type="paragraph" w:customStyle="1" w:styleId="Odstavecseseznamem2">
    <w:name w:val="Odstavec se seznamem2"/>
    <w:basedOn w:val="Normln"/>
    <w:uiPriority w:val="34"/>
    <w:qFormat/>
    <w:rsid w:val="00FF7D35"/>
    <w:pPr>
      <w:spacing w:before="160" w:after="200" w:line="276" w:lineRule="auto"/>
      <w:ind w:left="708"/>
      <w:jc w:val="left"/>
    </w:pPr>
    <w:rPr>
      <w:rFonts w:ascii="Calibri" w:eastAsia="Times New Roman" w:hAnsi="Calibri" w:cs="Times New Roman"/>
      <w:lang w:eastAsia="cs-CZ"/>
    </w:rPr>
  </w:style>
  <w:style w:type="paragraph" w:customStyle="1" w:styleId="STZ">
    <w:name w:val="STZ"/>
    <w:basedOn w:val="Normln"/>
    <w:link w:val="STZChar"/>
    <w:uiPriority w:val="99"/>
    <w:qFormat/>
    <w:rsid w:val="00FF7D35"/>
    <w:pPr>
      <w:spacing w:before="60" w:after="0" w:line="320" w:lineRule="exact"/>
      <w:ind w:firstLine="284"/>
    </w:pPr>
    <w:rPr>
      <w:rFonts w:ascii="Arial" w:eastAsia="Times New Roman" w:hAnsi="Arial" w:cs="Times New Roman"/>
      <w:szCs w:val="20"/>
      <w:lang w:eastAsia="cs-CZ"/>
    </w:rPr>
  </w:style>
  <w:style w:type="character" w:customStyle="1" w:styleId="STZChar">
    <w:name w:val="STZ Char"/>
    <w:link w:val="STZ"/>
    <w:uiPriority w:val="99"/>
    <w:locked/>
    <w:rsid w:val="00FF7D35"/>
    <w:rPr>
      <w:rFonts w:ascii="Arial" w:eastAsia="Times New Roman" w:hAnsi="Arial" w:cs="Times New Roman"/>
      <w:szCs w:val="20"/>
      <w:lang w:eastAsia="cs-CZ"/>
    </w:rPr>
  </w:style>
  <w:style w:type="character" w:customStyle="1" w:styleId="Zkladntext1">
    <w:name w:val="Základní text1"/>
    <w:basedOn w:val="Standardnpsmoodstavce"/>
    <w:rsid w:val="00FF7D35"/>
    <w:rPr>
      <w:sz w:val="19"/>
      <w:szCs w:val="19"/>
      <w:shd w:val="clear" w:color="auto" w:fill="FFFFFF"/>
    </w:rPr>
  </w:style>
  <w:style w:type="character" w:customStyle="1" w:styleId="Zkladntext">
    <w:name w:val="Základní text_"/>
    <w:basedOn w:val="Standardnpsmoodstavce"/>
    <w:link w:val="Zkladntext5"/>
    <w:rsid w:val="00FF7D35"/>
    <w:rPr>
      <w:sz w:val="19"/>
      <w:szCs w:val="19"/>
      <w:shd w:val="clear" w:color="auto" w:fill="FFFFFF"/>
    </w:rPr>
  </w:style>
  <w:style w:type="paragraph" w:customStyle="1" w:styleId="Zkladntext5">
    <w:name w:val="Základní text5"/>
    <w:basedOn w:val="Normln"/>
    <w:link w:val="Zkladntext"/>
    <w:rsid w:val="00FF7D35"/>
    <w:pPr>
      <w:shd w:val="clear" w:color="auto" w:fill="FFFFFF"/>
      <w:spacing w:before="160" w:after="0" w:line="0" w:lineRule="atLeast"/>
      <w:jc w:val="left"/>
    </w:pPr>
    <w:rPr>
      <w:sz w:val="19"/>
      <w:szCs w:val="19"/>
    </w:rPr>
  </w:style>
  <w:style w:type="character" w:customStyle="1" w:styleId="normaltextrun">
    <w:name w:val="normaltextrun"/>
    <w:basedOn w:val="Standardnpsmoodstavce"/>
    <w:rsid w:val="00722D2F"/>
  </w:style>
  <w:style w:type="paragraph" w:customStyle="1" w:styleId="StylOdstavecseseznamem11b">
    <w:name w:val="Styl Odstavec se seznamem + 11 b."/>
    <w:basedOn w:val="Odstavecseseznamem"/>
    <w:autoRedefine/>
    <w:rsid w:val="00DF266A"/>
    <w:pPr>
      <w:spacing w:after="0"/>
      <w:ind w:left="170" w:firstLine="113"/>
      <w:contextualSpacing w:val="0"/>
    </w:pPr>
    <w:rPr>
      <w:rFonts w:ascii="Times New Roman" w:eastAsia="Times New Roman" w:hAnsi="Times New Roman" w:cs="Times New Roman"/>
      <w:szCs w:val="20"/>
      <w:lang w:eastAsia="cs-CZ"/>
    </w:rPr>
  </w:style>
  <w:style w:type="paragraph" w:customStyle="1" w:styleId="Styl12bTunPodtren">
    <w:name w:val="Styl 12 b. Tučné Podtržení"/>
    <w:basedOn w:val="Normln"/>
    <w:rsid w:val="00DF266A"/>
    <w:pPr>
      <w:spacing w:before="120" w:after="0"/>
      <w:jc w:val="left"/>
    </w:pPr>
    <w:rPr>
      <w:rFonts w:ascii="Times New Roman" w:eastAsia="Times New Roman" w:hAnsi="Times New Roman" w:cs="Times New Roman"/>
      <w:b/>
      <w:sz w:val="24"/>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870100">
      <w:bodyDiv w:val="1"/>
      <w:marLeft w:val="0"/>
      <w:marRight w:val="0"/>
      <w:marTop w:val="0"/>
      <w:marBottom w:val="0"/>
      <w:divBdr>
        <w:top w:val="none" w:sz="0" w:space="0" w:color="auto"/>
        <w:left w:val="none" w:sz="0" w:space="0" w:color="auto"/>
        <w:bottom w:val="none" w:sz="0" w:space="0" w:color="auto"/>
        <w:right w:val="none" w:sz="0" w:space="0" w:color="auto"/>
      </w:divBdr>
    </w:div>
    <w:div w:id="1050804867">
      <w:bodyDiv w:val="1"/>
      <w:marLeft w:val="0"/>
      <w:marRight w:val="0"/>
      <w:marTop w:val="0"/>
      <w:marBottom w:val="0"/>
      <w:divBdr>
        <w:top w:val="none" w:sz="0" w:space="0" w:color="auto"/>
        <w:left w:val="none" w:sz="0" w:space="0" w:color="auto"/>
        <w:bottom w:val="none" w:sz="0" w:space="0" w:color="auto"/>
        <w:right w:val="none" w:sz="0" w:space="0" w:color="auto"/>
      </w:divBdr>
    </w:div>
    <w:div w:id="1177575437">
      <w:bodyDiv w:val="1"/>
      <w:marLeft w:val="0"/>
      <w:marRight w:val="0"/>
      <w:marTop w:val="0"/>
      <w:marBottom w:val="0"/>
      <w:divBdr>
        <w:top w:val="none" w:sz="0" w:space="0" w:color="auto"/>
        <w:left w:val="none" w:sz="0" w:space="0" w:color="auto"/>
        <w:bottom w:val="none" w:sz="0" w:space="0" w:color="auto"/>
        <w:right w:val="none" w:sz="0" w:space="0" w:color="auto"/>
      </w:divBdr>
    </w:div>
    <w:div w:id="1231307078">
      <w:bodyDiv w:val="1"/>
      <w:marLeft w:val="0"/>
      <w:marRight w:val="0"/>
      <w:marTop w:val="0"/>
      <w:marBottom w:val="0"/>
      <w:divBdr>
        <w:top w:val="none" w:sz="0" w:space="0" w:color="auto"/>
        <w:left w:val="none" w:sz="0" w:space="0" w:color="auto"/>
        <w:bottom w:val="none" w:sz="0" w:space="0" w:color="auto"/>
        <w:right w:val="none" w:sz="0" w:space="0" w:color="auto"/>
      </w:divBdr>
    </w:div>
    <w:div w:id="1674264572">
      <w:bodyDiv w:val="1"/>
      <w:marLeft w:val="0"/>
      <w:marRight w:val="0"/>
      <w:marTop w:val="0"/>
      <w:marBottom w:val="0"/>
      <w:divBdr>
        <w:top w:val="none" w:sz="0" w:space="0" w:color="auto"/>
        <w:left w:val="none" w:sz="0" w:space="0" w:color="auto"/>
        <w:bottom w:val="none" w:sz="0" w:space="0" w:color="auto"/>
        <w:right w:val="none" w:sz="0" w:space="0" w:color="auto"/>
      </w:divBdr>
    </w:div>
    <w:div w:id="1708602363">
      <w:bodyDiv w:val="1"/>
      <w:marLeft w:val="0"/>
      <w:marRight w:val="0"/>
      <w:marTop w:val="0"/>
      <w:marBottom w:val="0"/>
      <w:divBdr>
        <w:top w:val="none" w:sz="0" w:space="0" w:color="auto"/>
        <w:left w:val="none" w:sz="0" w:space="0" w:color="auto"/>
        <w:bottom w:val="none" w:sz="0" w:space="0" w:color="auto"/>
        <w:right w:val="none" w:sz="0" w:space="0" w:color="auto"/>
      </w:divBdr>
    </w:div>
    <w:div w:id="1995446453">
      <w:bodyDiv w:val="1"/>
      <w:marLeft w:val="0"/>
      <w:marRight w:val="0"/>
      <w:marTop w:val="0"/>
      <w:marBottom w:val="0"/>
      <w:divBdr>
        <w:top w:val="none" w:sz="0" w:space="0" w:color="auto"/>
        <w:left w:val="none" w:sz="0" w:space="0" w:color="auto"/>
        <w:bottom w:val="none" w:sz="0" w:space="0" w:color="auto"/>
        <w:right w:val="none" w:sz="0" w:space="0" w:color="auto"/>
      </w:divBdr>
    </w:div>
    <w:div w:id="1995638536">
      <w:bodyDiv w:val="1"/>
      <w:marLeft w:val="0"/>
      <w:marRight w:val="0"/>
      <w:marTop w:val="0"/>
      <w:marBottom w:val="0"/>
      <w:divBdr>
        <w:top w:val="none" w:sz="0" w:space="0" w:color="auto"/>
        <w:left w:val="none" w:sz="0" w:space="0" w:color="auto"/>
        <w:bottom w:val="none" w:sz="0" w:space="0" w:color="auto"/>
        <w:right w:val="none" w:sz="0" w:space="0" w:color="auto"/>
      </w:divBdr>
    </w:div>
    <w:div w:id="205090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5.emf"/><Relationship Id="rId33" Type="http://schemas.openxmlformats.org/officeDocument/2006/relationships/image" Target="media/image22.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1.xml"/><Relationship Id="rId32" Type="http://schemas.openxmlformats.org/officeDocument/2006/relationships/image" Target="media/image21.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image" Target="media/image17.emf"/><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List1!$B$1</c:f>
              <c:strCache>
                <c:ptCount val="1"/>
                <c:pt idx="0">
                  <c:v>bez projektu</c:v>
                </c:pt>
              </c:strCache>
            </c:strRef>
          </c:tx>
          <c:spPr>
            <a:ln>
              <a:solidFill>
                <a:schemeClr val="accent6">
                  <a:lumMod val="75000"/>
                </a:schemeClr>
              </a:solidFill>
            </a:ln>
          </c:spPr>
          <c:marker>
            <c:symbol val="none"/>
          </c:marker>
          <c:xVal>
            <c:numRef>
              <c:f>List1!$A$2:$A$6</c:f>
              <c:numCache>
                <c:formatCode>General</c:formatCode>
                <c:ptCount val="5"/>
                <c:pt idx="0">
                  <c:v>2014</c:v>
                </c:pt>
                <c:pt idx="1">
                  <c:v>2021</c:v>
                </c:pt>
                <c:pt idx="2">
                  <c:v>2025</c:v>
                </c:pt>
                <c:pt idx="3">
                  <c:v>2025</c:v>
                </c:pt>
                <c:pt idx="4">
                  <c:v>2055</c:v>
                </c:pt>
              </c:numCache>
            </c:numRef>
          </c:xVal>
          <c:yVal>
            <c:numRef>
              <c:f>List1!$B$2:$B$6</c:f>
              <c:numCache>
                <c:formatCode>General</c:formatCode>
                <c:ptCount val="5"/>
                <c:pt idx="0">
                  <c:v>2207.0700000000002</c:v>
                </c:pt>
                <c:pt idx="1">
                  <c:v>2193.4839999999999</c:v>
                </c:pt>
                <c:pt idx="2">
                  <c:v>2135.2710000000002</c:v>
                </c:pt>
                <c:pt idx="3">
                  <c:v>2135.2710000000002</c:v>
                </c:pt>
                <c:pt idx="4">
                  <c:v>2071.8649999999998</c:v>
                </c:pt>
              </c:numCache>
            </c:numRef>
          </c:yVal>
          <c:smooth val="0"/>
          <c:extLst xmlns:c16r2="http://schemas.microsoft.com/office/drawing/2015/06/chart">
            <c:ext xmlns:c16="http://schemas.microsoft.com/office/drawing/2014/chart" uri="{C3380CC4-5D6E-409C-BE32-E72D297353CC}">
              <c16:uniqueId val="{00000000-8EA1-47B9-95E2-D421C1E05A25}"/>
            </c:ext>
          </c:extLst>
        </c:ser>
        <c:ser>
          <c:idx val="1"/>
          <c:order val="1"/>
          <c:tx>
            <c:strRef>
              <c:f>List1!$C$1</c:f>
              <c:strCache>
                <c:ptCount val="1"/>
                <c:pt idx="0">
                  <c:v>s projektem</c:v>
                </c:pt>
              </c:strCache>
            </c:strRef>
          </c:tx>
          <c:marker>
            <c:symbol val="none"/>
          </c:marker>
          <c:xVal>
            <c:numRef>
              <c:f>List1!$A$2:$A$6</c:f>
              <c:numCache>
                <c:formatCode>General</c:formatCode>
                <c:ptCount val="5"/>
                <c:pt idx="0">
                  <c:v>2014</c:v>
                </c:pt>
                <c:pt idx="1">
                  <c:v>2021</c:v>
                </c:pt>
                <c:pt idx="2">
                  <c:v>2025</c:v>
                </c:pt>
                <c:pt idx="3">
                  <c:v>2025</c:v>
                </c:pt>
                <c:pt idx="4">
                  <c:v>2055</c:v>
                </c:pt>
              </c:numCache>
            </c:numRef>
          </c:xVal>
          <c:yVal>
            <c:numRef>
              <c:f>List1!$C$2:$C$6</c:f>
              <c:numCache>
                <c:formatCode>General</c:formatCode>
                <c:ptCount val="5"/>
                <c:pt idx="0">
                  <c:v>2207.0700000000002</c:v>
                </c:pt>
                <c:pt idx="1">
                  <c:v>2193.4839999999999</c:v>
                </c:pt>
                <c:pt idx="2">
                  <c:v>2135.2710000000002</c:v>
                </c:pt>
                <c:pt idx="3">
                  <c:v>2628.518</c:v>
                </c:pt>
                <c:pt idx="4">
                  <c:v>2939.61</c:v>
                </c:pt>
              </c:numCache>
            </c:numRef>
          </c:yVal>
          <c:smooth val="0"/>
          <c:extLst xmlns:c16r2="http://schemas.microsoft.com/office/drawing/2015/06/chart">
            <c:ext xmlns:c16="http://schemas.microsoft.com/office/drawing/2014/chart" uri="{C3380CC4-5D6E-409C-BE32-E72D297353CC}">
              <c16:uniqueId val="{00000001-8EA1-47B9-95E2-D421C1E05A25}"/>
            </c:ext>
          </c:extLst>
        </c:ser>
        <c:dLbls>
          <c:showLegendKey val="0"/>
          <c:showVal val="0"/>
          <c:showCatName val="0"/>
          <c:showSerName val="0"/>
          <c:showPercent val="0"/>
          <c:showBubbleSize val="0"/>
        </c:dLbls>
        <c:axId val="140934624"/>
        <c:axId val="140935008"/>
      </c:scatterChart>
      <c:valAx>
        <c:axId val="140934624"/>
        <c:scaling>
          <c:orientation val="minMax"/>
        </c:scaling>
        <c:delete val="0"/>
        <c:axPos val="b"/>
        <c:numFmt formatCode="General" sourceLinked="1"/>
        <c:majorTickMark val="out"/>
        <c:minorTickMark val="none"/>
        <c:tickLblPos val="nextTo"/>
        <c:txPr>
          <a:bodyPr/>
          <a:lstStyle/>
          <a:p>
            <a:pPr>
              <a:defRPr sz="800"/>
            </a:pPr>
            <a:endParaRPr lang="cs-CZ"/>
          </a:p>
        </c:txPr>
        <c:crossAx val="140935008"/>
        <c:crosses val="autoZero"/>
        <c:crossBetween val="midCat"/>
      </c:valAx>
      <c:valAx>
        <c:axId val="140935008"/>
        <c:scaling>
          <c:orientation val="minMax"/>
        </c:scaling>
        <c:delete val="0"/>
        <c:axPos val="l"/>
        <c:majorGridlines/>
        <c:title>
          <c:tx>
            <c:rich>
              <a:bodyPr rot="-5400000" vert="horz"/>
              <a:lstStyle/>
              <a:p>
                <a:pPr>
                  <a:defRPr/>
                </a:pPr>
                <a:r>
                  <a:rPr lang="cs-CZ" sz="800" b="0"/>
                  <a:t>(tis. tkm)</a:t>
                </a:r>
              </a:p>
            </c:rich>
          </c:tx>
          <c:layout/>
          <c:overlay val="0"/>
        </c:title>
        <c:numFmt formatCode="General" sourceLinked="1"/>
        <c:majorTickMark val="out"/>
        <c:minorTickMark val="none"/>
        <c:tickLblPos val="nextTo"/>
        <c:txPr>
          <a:bodyPr/>
          <a:lstStyle/>
          <a:p>
            <a:pPr>
              <a:defRPr sz="800"/>
            </a:pPr>
            <a:endParaRPr lang="cs-CZ"/>
          </a:p>
        </c:txPr>
        <c:crossAx val="140934624"/>
        <c:crosses val="autoZero"/>
        <c:crossBetween val="midCat"/>
      </c:valAx>
    </c:plotArea>
    <c:legend>
      <c:legendPos val="t"/>
      <c:layout/>
      <c:overlay val="0"/>
      <c:txPr>
        <a:bodyPr/>
        <a:lstStyle/>
        <a:p>
          <a:pPr>
            <a:defRPr sz="800"/>
          </a:pPr>
          <a:endParaRPr lang="cs-CZ"/>
        </a:p>
      </c:txPr>
    </c:legend>
    <c:plotVisOnly val="1"/>
    <c:dispBlanksAs val="gap"/>
    <c:showDLblsOverMax val="0"/>
  </c:chart>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5180-E23B-49C5-8A6B-57754B6B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46</Pages>
  <Words>13370</Words>
  <Characters>78889</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Tomáš Funk</dc:creator>
  <cp:keywords/>
  <dc:description/>
  <cp:lastModifiedBy>Ing. Tomáš Funk</cp:lastModifiedBy>
  <cp:revision>8</cp:revision>
  <cp:lastPrinted>2020-05-13T09:09:00Z</cp:lastPrinted>
  <dcterms:created xsi:type="dcterms:W3CDTF">2020-05-12T12:35:00Z</dcterms:created>
  <dcterms:modified xsi:type="dcterms:W3CDTF">2020-05-13T09:11:00Z</dcterms:modified>
</cp:coreProperties>
</file>